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778DE" w14:textId="77777777" w:rsidR="00670275" w:rsidRPr="0000131B" w:rsidRDefault="00670275" w:rsidP="00670275">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562344</w:t>
      </w:r>
      <w:bookmarkEnd w:id="0"/>
    </w:p>
    <w:p w14:paraId="4D14CC38" w14:textId="77777777" w:rsidR="00670275" w:rsidRPr="00DB7060" w:rsidRDefault="00670275" w:rsidP="00670275">
      <w:pPr>
        <w:pStyle w:val="HeadHatzaotHok"/>
        <w:rPr>
          <w:sz w:val="28"/>
          <w:szCs w:val="28"/>
          <w:rtl/>
        </w:rPr>
      </w:pPr>
      <w:r w:rsidRPr="00DB7060">
        <w:rPr>
          <w:rFonts w:hint="cs"/>
          <w:sz w:val="28"/>
          <w:szCs w:val="28"/>
          <w:rtl/>
        </w:rPr>
        <w:t xml:space="preserve">הכנסת </w:t>
      </w:r>
      <w:bookmarkStart w:id="1" w:name="LGS_Knesset_Num"/>
      <w:r>
        <w:rPr>
          <w:sz w:val="28"/>
          <w:szCs w:val="28"/>
          <w:rtl/>
        </w:rPr>
        <w:t>העשרים</w:t>
      </w:r>
      <w:bookmarkEnd w:id="1"/>
    </w:p>
    <w:p w14:paraId="31EB534A" w14:textId="77777777" w:rsidR="00670275" w:rsidRPr="00F67051" w:rsidRDefault="00670275" w:rsidP="00670275">
      <w:pPr>
        <w:rPr>
          <w:rFonts w:cs="David"/>
          <w:b/>
          <w:bCs/>
          <w:sz w:val="26"/>
          <w:szCs w:val="26"/>
          <w:rtl/>
        </w:rPr>
      </w:pPr>
    </w:p>
    <w:p w14:paraId="2BE71AA5" w14:textId="77777777" w:rsidR="00670275" w:rsidRDefault="00670275" w:rsidP="00670275">
      <w:pPr>
        <w:pStyle w:val="David"/>
        <w:ind w:left="3544"/>
        <w:rPr>
          <w:b/>
          <w:bCs/>
          <w:rtl/>
        </w:rPr>
      </w:pPr>
      <w:bookmarkStart w:id="2" w:name="LGS_Initiators_List"/>
      <w:r>
        <w:rPr>
          <w:b/>
          <w:bCs/>
          <w:rtl/>
        </w:rPr>
        <w:t>יוזמים:      חברי הכנסת</w:t>
      </w:r>
      <w:bookmarkEnd w:id="2"/>
      <w:r w:rsidRPr="00F67051">
        <w:rPr>
          <w:b/>
          <w:bCs/>
        </w:rPr>
        <w:tab/>
      </w:r>
      <w:bookmarkStart w:id="3" w:name="LGS_PM_Names"/>
      <w:r>
        <w:rPr>
          <w:rFonts w:hint="cs"/>
          <w:b/>
          <w:bCs/>
          <w:rtl/>
        </w:rPr>
        <w:t>עליזה לביא</w:t>
      </w:r>
      <w:r>
        <w:br/>
      </w:r>
      <w:r>
        <w:rPr>
          <w:rFonts w:hint="cs"/>
          <w:b/>
          <w:bCs/>
          <w:rtl/>
        </w:rPr>
        <w:t xml:space="preserve"> </w:t>
      </w:r>
      <w:r>
        <w:tab/>
      </w:r>
      <w:r>
        <w:tab/>
      </w:r>
      <w:r>
        <w:tab/>
      </w:r>
      <w:r>
        <w:tab/>
      </w:r>
      <w:r>
        <w:rPr>
          <w:rFonts w:hint="cs"/>
          <w:b/>
          <w:bCs/>
          <w:rtl/>
        </w:rPr>
        <w:t xml:space="preserve">דב </w:t>
      </w:r>
      <w:proofErr w:type="spellStart"/>
      <w:r>
        <w:rPr>
          <w:rFonts w:hint="cs"/>
          <w:b/>
          <w:bCs/>
          <w:rtl/>
        </w:rPr>
        <w:t>חנין</w:t>
      </w:r>
      <w:bookmarkEnd w:id="3"/>
      <w:proofErr w:type="spellEnd"/>
    </w:p>
    <w:p w14:paraId="5BF600D5" w14:textId="77777777" w:rsidR="00670275" w:rsidRPr="00CF1AA2" w:rsidRDefault="00670275" w:rsidP="00670275">
      <w:pPr>
        <w:pStyle w:val="David"/>
        <w:ind w:left="3544"/>
        <w:rPr>
          <w:b/>
          <w:bCs/>
          <w:rtl/>
        </w:rPr>
      </w:pPr>
      <w:bookmarkStart w:id="4" w:name="LGS_Join_List"/>
      <w:r>
        <w:rPr>
          <w:rtl/>
        </w:rPr>
        <w:t xml:space="preserve"> </w:t>
      </w:r>
      <w:bookmarkEnd w:id="4"/>
      <w:r w:rsidRPr="00CF1AA2">
        <w:rPr>
          <w:rFonts w:hint="cs"/>
          <w:rtl/>
        </w:rPr>
        <w:tab/>
      </w:r>
      <w:bookmarkStart w:id="5" w:name="LGS_PM_NamesJoin"/>
      <w:r>
        <w:rPr>
          <w:rFonts w:hint="cs"/>
          <w:rtl/>
        </w:rPr>
        <w:t xml:space="preserve"> </w:t>
      </w:r>
      <w:bookmarkEnd w:id="5"/>
    </w:p>
    <w:p w14:paraId="078AE3DE" w14:textId="77777777" w:rsidR="00670275" w:rsidRPr="00E06736" w:rsidRDefault="00670275" w:rsidP="00670275">
      <w:pPr>
        <w:pStyle w:val="David"/>
        <w:ind w:left="3544"/>
        <w:rPr>
          <w:rtl/>
        </w:rPr>
      </w:pPr>
      <w:r w:rsidRPr="00CF1AA2">
        <w:rPr>
          <w:b/>
          <w:bCs/>
          <w:noProof/>
          <w:rtl/>
          <w:lang w:eastAsia="en-US"/>
        </w:rPr>
        <mc:AlternateContent>
          <mc:Choice Requires="wps">
            <w:drawing>
              <wp:anchor distT="0" distB="0" distL="114300" distR="114300" simplePos="0" relativeHeight="251659264" behindDoc="0" locked="0" layoutInCell="1" allowOverlap="1" wp14:anchorId="509AE634" wp14:editId="617E4310">
                <wp:simplePos x="0" y="0"/>
                <wp:positionH relativeFrom="column">
                  <wp:posOffset>1270</wp:posOffset>
                </wp:positionH>
                <wp:positionV relativeFrom="paragraph">
                  <wp:posOffset>47625</wp:posOffset>
                </wp:positionV>
                <wp:extent cx="3879215" cy="1714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94EDBA" id="Freeform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mc:Fallback>
        </mc:AlternateContent>
      </w:r>
      <w:r w:rsidRPr="00E06736">
        <w:rPr>
          <w:rFonts w:hint="cs"/>
          <w:rtl/>
        </w:rPr>
        <w:tab/>
      </w:r>
      <w:r>
        <w:tab/>
      </w:r>
      <w:r>
        <w:tab/>
      </w:r>
      <w:r w:rsidRPr="00E06736">
        <w:rPr>
          <w:rFonts w:hint="cs"/>
          <w:rtl/>
        </w:rPr>
        <w:tab/>
      </w:r>
      <w:r w:rsidRPr="00E06736">
        <w:tab/>
      </w:r>
      <w:bookmarkStart w:id="6" w:name="Private_Number"/>
      <w:r>
        <w:rPr>
          <w:rFonts w:hint="cs"/>
          <w:rtl/>
        </w:rPr>
        <w:t>פ/133/20</w:t>
      </w:r>
      <w:bookmarkEnd w:id="6"/>
      <w:r w:rsidRPr="00E06736">
        <w:rPr>
          <w:rFonts w:hint="cs"/>
          <w:rtl/>
        </w:rPr>
        <w:tab/>
      </w:r>
      <w:r w:rsidRPr="00E06736">
        <w:rPr>
          <w:rFonts w:hint="cs"/>
          <w:rtl/>
        </w:rPr>
        <w:tab/>
      </w:r>
      <w:r w:rsidRPr="00E06736">
        <w:rPr>
          <w:rFonts w:hint="cs"/>
          <w:rtl/>
        </w:rPr>
        <w:tab/>
      </w:r>
    </w:p>
    <w:p w14:paraId="7654721E" w14:textId="77777777" w:rsidR="00670275" w:rsidRDefault="00670275" w:rsidP="00670275">
      <w:pPr>
        <w:spacing w:before="0" w:line="360" w:lineRule="auto"/>
        <w:ind w:left="2880" w:firstLine="720"/>
        <w:rPr>
          <w:rFonts w:cs="David"/>
          <w:sz w:val="26"/>
          <w:szCs w:val="26"/>
          <w:rtl/>
        </w:rPr>
      </w:pPr>
    </w:p>
    <w:p w14:paraId="20AAEB20" w14:textId="77777777" w:rsidR="00670275" w:rsidRPr="00F67051" w:rsidRDefault="00670275" w:rsidP="0080690D">
      <w:pPr>
        <w:pStyle w:val="HeadHatzaotHok"/>
        <w:rPr>
          <w:rtl/>
        </w:rPr>
      </w:pPr>
      <w:bookmarkStart w:id="7" w:name="LGS_Subject"/>
      <w:bookmarkStart w:id="8" w:name="_GoBack"/>
      <w:r>
        <w:rPr>
          <w:rFonts w:hint="cs"/>
          <w:rtl/>
        </w:rPr>
        <w:t xml:space="preserve">הצעת חוק החברות (תיקון – ייצוג הולם לבני שני המינים בדירקטוריונים של חברות ציבוריות), </w:t>
      </w:r>
      <w:proofErr w:type="spellStart"/>
      <w:r>
        <w:rPr>
          <w:rFonts w:hint="cs"/>
          <w:rtl/>
        </w:rPr>
        <w:t>התשע"ה</w:t>
      </w:r>
      <w:proofErr w:type="spellEnd"/>
      <w:r>
        <w:rPr>
          <w:rFonts w:hint="cs"/>
          <w:rtl/>
        </w:rPr>
        <w:t>–2015</w:t>
      </w:r>
      <w:bookmarkEnd w:id="7"/>
    </w:p>
    <w:bookmarkEnd w:id="8"/>
    <w:p w14:paraId="580AF8A0" w14:textId="77777777" w:rsidR="00670275" w:rsidRDefault="00670275" w:rsidP="00670275">
      <w:pPr>
        <w:pStyle w:val="HeadDivreiHesber"/>
        <w:spacing w:before="0" w:after="0" w:line="240" w:lineRule="auto"/>
        <w:rPr>
          <w:rtl/>
        </w:rPr>
      </w:pPr>
    </w:p>
    <w:tbl>
      <w:tblPr>
        <w:bidiVisual/>
        <w:tblW w:w="9638" w:type="dxa"/>
        <w:tblLayout w:type="fixed"/>
        <w:tblCellMar>
          <w:top w:w="57" w:type="dxa"/>
          <w:left w:w="0" w:type="dxa"/>
          <w:bottom w:w="57" w:type="dxa"/>
          <w:right w:w="0" w:type="dxa"/>
        </w:tblCellMar>
        <w:tblLook w:val="0000" w:firstRow="0" w:lastRow="0" w:firstColumn="0" w:lastColumn="0" w:noHBand="0" w:noVBand="0"/>
      </w:tblPr>
      <w:tblGrid>
        <w:gridCol w:w="1871"/>
        <w:gridCol w:w="624"/>
        <w:gridCol w:w="624"/>
        <w:gridCol w:w="624"/>
        <w:gridCol w:w="624"/>
        <w:gridCol w:w="624"/>
        <w:gridCol w:w="624"/>
        <w:gridCol w:w="4023"/>
      </w:tblGrid>
      <w:tr w:rsidR="00670275" w14:paraId="4B39E88C" w14:textId="77777777" w:rsidTr="006B35D0">
        <w:trPr>
          <w:cantSplit/>
        </w:trPr>
        <w:tc>
          <w:tcPr>
            <w:tcW w:w="1871" w:type="dxa"/>
            <w:tcBorders>
              <w:top w:val="nil"/>
              <w:left w:val="nil"/>
              <w:bottom w:val="nil"/>
              <w:right w:val="nil"/>
            </w:tcBorders>
          </w:tcPr>
          <w:p w14:paraId="37F0EF56" w14:textId="77777777" w:rsidR="00670275" w:rsidRDefault="00670275" w:rsidP="006B35D0">
            <w:pPr>
              <w:pStyle w:val="TableSideHeading"/>
              <w:keepLines w:val="0"/>
            </w:pPr>
            <w:r>
              <w:rPr>
                <w:rtl/>
              </w:rPr>
              <w:t>תיקון סעיף 117</w:t>
            </w:r>
          </w:p>
        </w:tc>
        <w:tc>
          <w:tcPr>
            <w:tcW w:w="624" w:type="dxa"/>
            <w:tcBorders>
              <w:top w:val="nil"/>
              <w:left w:val="nil"/>
              <w:bottom w:val="nil"/>
              <w:right w:val="nil"/>
            </w:tcBorders>
          </w:tcPr>
          <w:p w14:paraId="311A8E95" w14:textId="77777777" w:rsidR="00670275" w:rsidRDefault="00670275" w:rsidP="006B35D0">
            <w:pPr>
              <w:pStyle w:val="TableText"/>
              <w:keepLines w:val="0"/>
              <w:numPr>
                <w:ilvl w:val="0"/>
                <w:numId w:val="12"/>
              </w:numPr>
            </w:pPr>
            <w:r>
              <w:rPr>
                <w:sz w:val="26"/>
                <w:rtl/>
              </w:rPr>
              <w:t>ב</w:t>
            </w:r>
          </w:p>
        </w:tc>
        <w:tc>
          <w:tcPr>
            <w:tcW w:w="7143" w:type="dxa"/>
            <w:gridSpan w:val="6"/>
            <w:tcBorders>
              <w:top w:val="nil"/>
              <w:left w:val="nil"/>
              <w:bottom w:val="nil"/>
              <w:right w:val="nil"/>
            </w:tcBorders>
          </w:tcPr>
          <w:p w14:paraId="62DCC9E3" w14:textId="77777777" w:rsidR="00670275" w:rsidRDefault="00670275" w:rsidP="006B35D0">
            <w:pPr>
              <w:pStyle w:val="TableBlock"/>
            </w:pPr>
            <w:r>
              <w:rPr>
                <w:sz w:val="26"/>
                <w:rtl/>
              </w:rPr>
              <w:t xml:space="preserve">בחוק החברות, </w:t>
            </w:r>
            <w:proofErr w:type="spellStart"/>
            <w:r>
              <w:rPr>
                <w:sz w:val="26"/>
                <w:rtl/>
              </w:rPr>
              <w:t>התשנ"ט</w:t>
            </w:r>
            <w:proofErr w:type="spellEnd"/>
            <w:r>
              <w:rPr>
                <w:sz w:val="26"/>
                <w:rtl/>
              </w:rPr>
              <w:t>–1999</w:t>
            </w:r>
            <w:r>
              <w:rPr>
                <w:rStyle w:val="a6"/>
                <w:sz w:val="26"/>
                <w:rtl/>
              </w:rPr>
              <w:footnoteReference w:id="2"/>
            </w:r>
            <w:r>
              <w:rPr>
                <w:sz w:val="26"/>
                <w:rtl/>
              </w:rPr>
              <w:t xml:space="preserve"> (להלן – החוק העיקרי), </w:t>
            </w:r>
            <w:r>
              <w:rPr>
                <w:rtl/>
              </w:rPr>
              <w:t>בסעיף 117, אחרי פסקה (2</w:t>
            </w:r>
            <w:r>
              <w:rPr>
                <w:rFonts w:hint="cs"/>
                <w:rtl/>
              </w:rPr>
              <w:t>א</w:t>
            </w:r>
            <w:r>
              <w:rPr>
                <w:rtl/>
              </w:rPr>
              <w:t>) יבוא:</w:t>
            </w:r>
          </w:p>
        </w:tc>
      </w:tr>
      <w:tr w:rsidR="00670275" w14:paraId="05C62736" w14:textId="77777777" w:rsidTr="006B35D0">
        <w:trPr>
          <w:cantSplit/>
        </w:trPr>
        <w:tc>
          <w:tcPr>
            <w:tcW w:w="1871" w:type="dxa"/>
            <w:tcBorders>
              <w:top w:val="nil"/>
              <w:left w:val="nil"/>
              <w:bottom w:val="nil"/>
              <w:right w:val="nil"/>
            </w:tcBorders>
          </w:tcPr>
          <w:p w14:paraId="079B2FF5" w14:textId="77777777" w:rsidR="00670275" w:rsidRDefault="00670275" w:rsidP="006B35D0">
            <w:pPr>
              <w:pStyle w:val="TableSideHeading"/>
              <w:keepLines w:val="0"/>
            </w:pPr>
          </w:p>
        </w:tc>
        <w:tc>
          <w:tcPr>
            <w:tcW w:w="624" w:type="dxa"/>
            <w:tcBorders>
              <w:top w:val="nil"/>
              <w:left w:val="nil"/>
              <w:bottom w:val="nil"/>
              <w:right w:val="nil"/>
            </w:tcBorders>
          </w:tcPr>
          <w:p w14:paraId="678B8F76" w14:textId="77777777" w:rsidR="00670275" w:rsidRDefault="00670275" w:rsidP="006B35D0">
            <w:pPr>
              <w:pStyle w:val="TableText"/>
              <w:rPr>
                <w:rtl/>
              </w:rPr>
            </w:pPr>
          </w:p>
        </w:tc>
        <w:tc>
          <w:tcPr>
            <w:tcW w:w="7143" w:type="dxa"/>
            <w:gridSpan w:val="6"/>
            <w:tcBorders>
              <w:top w:val="nil"/>
              <w:left w:val="nil"/>
              <w:bottom w:val="nil"/>
              <w:right w:val="nil"/>
            </w:tcBorders>
          </w:tcPr>
          <w:p w14:paraId="700B8A51" w14:textId="77777777" w:rsidR="00670275" w:rsidRDefault="00670275" w:rsidP="006B35D0">
            <w:pPr>
              <w:pStyle w:val="TableBlock"/>
              <w:rPr>
                <w:sz w:val="26"/>
                <w:rtl/>
              </w:rPr>
            </w:pPr>
            <w:r>
              <w:rPr>
                <w:sz w:val="26"/>
                <w:rtl/>
              </w:rPr>
              <w:t>"(2</w:t>
            </w:r>
            <w:r>
              <w:rPr>
                <w:rFonts w:hint="cs"/>
                <w:sz w:val="26"/>
                <w:rtl/>
              </w:rPr>
              <w:t>ב</w:t>
            </w:r>
            <w:r>
              <w:rPr>
                <w:sz w:val="26"/>
                <w:rtl/>
              </w:rPr>
              <w:t>)</w:t>
            </w:r>
            <w:r>
              <w:rPr>
                <w:sz w:val="26"/>
                <w:rtl/>
              </w:rPr>
              <w:tab/>
              <w:t>לבחון אם מינוי מועמד לכהונת דירקטור מקיים את הוראות סעיף 219א וסעיף 239(ד)</w:t>
            </w:r>
            <w:r>
              <w:rPr>
                <w:rFonts w:hint="cs"/>
                <w:sz w:val="26"/>
                <w:rtl/>
              </w:rPr>
              <w:t>;</w:t>
            </w:r>
            <w:r>
              <w:rPr>
                <w:sz w:val="26"/>
                <w:rtl/>
              </w:rPr>
              <w:t>"</w:t>
            </w:r>
            <w:r>
              <w:rPr>
                <w:rFonts w:hint="cs"/>
                <w:sz w:val="26"/>
                <w:rtl/>
              </w:rPr>
              <w:t>.</w:t>
            </w:r>
          </w:p>
        </w:tc>
      </w:tr>
      <w:tr w:rsidR="00670275" w14:paraId="3A0DAE9B" w14:textId="77777777" w:rsidTr="006B35D0">
        <w:trPr>
          <w:cantSplit/>
        </w:trPr>
        <w:tc>
          <w:tcPr>
            <w:tcW w:w="1871" w:type="dxa"/>
            <w:tcBorders>
              <w:top w:val="nil"/>
              <w:left w:val="nil"/>
              <w:bottom w:val="nil"/>
              <w:right w:val="nil"/>
            </w:tcBorders>
          </w:tcPr>
          <w:p w14:paraId="1DDAF7BE" w14:textId="77777777" w:rsidR="00670275" w:rsidRDefault="00670275" w:rsidP="006B35D0">
            <w:pPr>
              <w:pStyle w:val="TableSideHeading"/>
              <w:keepLines w:val="0"/>
              <w:rPr>
                <w:sz w:val="26"/>
                <w:rtl/>
              </w:rPr>
            </w:pPr>
            <w:r>
              <w:rPr>
                <w:sz w:val="26"/>
                <w:rtl/>
              </w:rPr>
              <w:t>הוספת סעיף 219א</w:t>
            </w:r>
          </w:p>
        </w:tc>
        <w:tc>
          <w:tcPr>
            <w:tcW w:w="624" w:type="dxa"/>
            <w:tcBorders>
              <w:top w:val="nil"/>
              <w:left w:val="nil"/>
              <w:bottom w:val="nil"/>
              <w:right w:val="nil"/>
            </w:tcBorders>
          </w:tcPr>
          <w:p w14:paraId="745F058B" w14:textId="77777777" w:rsidR="00670275" w:rsidRDefault="00670275" w:rsidP="006B35D0">
            <w:pPr>
              <w:pStyle w:val="TableText"/>
              <w:rPr>
                <w:rtl/>
              </w:rPr>
            </w:pPr>
            <w:r>
              <w:rPr>
                <w:rtl/>
              </w:rPr>
              <w:t>2.</w:t>
            </w:r>
          </w:p>
        </w:tc>
        <w:tc>
          <w:tcPr>
            <w:tcW w:w="7143" w:type="dxa"/>
            <w:gridSpan w:val="6"/>
            <w:tcBorders>
              <w:top w:val="nil"/>
              <w:left w:val="nil"/>
              <w:bottom w:val="nil"/>
              <w:right w:val="nil"/>
            </w:tcBorders>
          </w:tcPr>
          <w:p w14:paraId="7C64974F" w14:textId="77777777" w:rsidR="00670275" w:rsidRDefault="00670275" w:rsidP="006B35D0">
            <w:pPr>
              <w:pStyle w:val="TableBlock"/>
              <w:rPr>
                <w:sz w:val="26"/>
                <w:rtl/>
              </w:rPr>
            </w:pPr>
            <w:r>
              <w:rPr>
                <w:sz w:val="26"/>
                <w:rtl/>
              </w:rPr>
              <w:t>אחרי סעיף 219 לחוק העיקרי יבוא:</w:t>
            </w:r>
          </w:p>
        </w:tc>
      </w:tr>
      <w:tr w:rsidR="00670275" w14:paraId="198D53EB" w14:textId="77777777" w:rsidTr="006B35D0">
        <w:trPr>
          <w:cantSplit/>
        </w:trPr>
        <w:tc>
          <w:tcPr>
            <w:tcW w:w="1871" w:type="dxa"/>
            <w:tcBorders>
              <w:top w:val="nil"/>
              <w:left w:val="nil"/>
              <w:bottom w:val="nil"/>
              <w:right w:val="nil"/>
            </w:tcBorders>
          </w:tcPr>
          <w:p w14:paraId="39F0425B" w14:textId="77777777" w:rsidR="00670275" w:rsidRDefault="00670275" w:rsidP="006B35D0">
            <w:pPr>
              <w:pStyle w:val="TableSideHeading"/>
              <w:keepLines w:val="0"/>
            </w:pPr>
          </w:p>
        </w:tc>
        <w:tc>
          <w:tcPr>
            <w:tcW w:w="624" w:type="dxa"/>
            <w:tcBorders>
              <w:top w:val="nil"/>
              <w:left w:val="nil"/>
              <w:bottom w:val="nil"/>
              <w:right w:val="nil"/>
            </w:tcBorders>
          </w:tcPr>
          <w:p w14:paraId="512E72ED" w14:textId="77777777" w:rsidR="00670275" w:rsidRDefault="00670275" w:rsidP="006B35D0">
            <w:pPr>
              <w:pStyle w:val="TableText"/>
              <w:keepLines w:val="0"/>
            </w:pPr>
          </w:p>
        </w:tc>
        <w:tc>
          <w:tcPr>
            <w:tcW w:w="1872" w:type="dxa"/>
            <w:gridSpan w:val="3"/>
            <w:tcBorders>
              <w:top w:val="nil"/>
              <w:left w:val="nil"/>
              <w:bottom w:val="nil"/>
              <w:right w:val="nil"/>
            </w:tcBorders>
          </w:tcPr>
          <w:p w14:paraId="7DFBCE14" w14:textId="77777777" w:rsidR="00670275" w:rsidRDefault="00670275" w:rsidP="006B35D0">
            <w:pPr>
              <w:pStyle w:val="TableInnerSideHeading"/>
            </w:pPr>
            <w:r>
              <w:rPr>
                <w:sz w:val="26"/>
                <w:rtl/>
              </w:rPr>
              <w:t xml:space="preserve">"ייצוג הולם לבני שני המינים </w:t>
            </w:r>
          </w:p>
        </w:tc>
        <w:tc>
          <w:tcPr>
            <w:tcW w:w="624" w:type="dxa"/>
            <w:tcBorders>
              <w:top w:val="nil"/>
              <w:left w:val="nil"/>
              <w:bottom w:val="nil"/>
              <w:right w:val="nil"/>
            </w:tcBorders>
          </w:tcPr>
          <w:p w14:paraId="401DC941" w14:textId="77777777" w:rsidR="00670275" w:rsidRDefault="00670275" w:rsidP="006B35D0">
            <w:pPr>
              <w:pStyle w:val="TableText"/>
            </w:pPr>
            <w:r>
              <w:rPr>
                <w:sz w:val="26"/>
                <w:rtl/>
              </w:rPr>
              <w:t>219א.</w:t>
            </w:r>
          </w:p>
        </w:tc>
        <w:tc>
          <w:tcPr>
            <w:tcW w:w="4647" w:type="dxa"/>
            <w:gridSpan w:val="2"/>
            <w:tcBorders>
              <w:top w:val="nil"/>
              <w:left w:val="nil"/>
              <w:bottom w:val="nil"/>
              <w:right w:val="nil"/>
            </w:tcBorders>
          </w:tcPr>
          <w:p w14:paraId="51BEA358" w14:textId="77777777" w:rsidR="00670275" w:rsidRPr="00B74EBA" w:rsidRDefault="00670275" w:rsidP="006B35D0">
            <w:pPr>
              <w:pStyle w:val="TableBlock"/>
            </w:pPr>
            <w:r>
              <w:rPr>
                <w:rtl/>
              </w:rPr>
              <w:t>(א)</w:t>
            </w:r>
            <w:r>
              <w:rPr>
                <w:rtl/>
              </w:rPr>
              <w:tab/>
            </w:r>
            <w:r w:rsidRPr="00B74EBA">
              <w:rPr>
                <w:rtl/>
              </w:rPr>
              <w:t>בהרכב דירקטוריון של חברה ציבורית יינתן ביטוי הולם לייצוגם של בני שני המינים, כמפורט להלן:</w:t>
            </w:r>
          </w:p>
        </w:tc>
      </w:tr>
      <w:tr w:rsidR="00670275" w14:paraId="70543BC6" w14:textId="77777777" w:rsidTr="006B35D0">
        <w:trPr>
          <w:cantSplit/>
        </w:trPr>
        <w:tc>
          <w:tcPr>
            <w:tcW w:w="1871" w:type="dxa"/>
            <w:tcBorders>
              <w:top w:val="nil"/>
              <w:left w:val="nil"/>
              <w:bottom w:val="nil"/>
              <w:right w:val="nil"/>
            </w:tcBorders>
          </w:tcPr>
          <w:p w14:paraId="5DD915E4" w14:textId="77777777" w:rsidR="00670275" w:rsidRDefault="00670275" w:rsidP="006B35D0">
            <w:pPr>
              <w:pStyle w:val="TableSideHeading"/>
            </w:pPr>
          </w:p>
        </w:tc>
        <w:tc>
          <w:tcPr>
            <w:tcW w:w="624" w:type="dxa"/>
            <w:tcBorders>
              <w:top w:val="nil"/>
              <w:left w:val="nil"/>
              <w:bottom w:val="nil"/>
              <w:right w:val="nil"/>
            </w:tcBorders>
          </w:tcPr>
          <w:p w14:paraId="6C29BC85" w14:textId="77777777" w:rsidR="00670275" w:rsidRDefault="00670275" w:rsidP="006B35D0">
            <w:pPr>
              <w:pStyle w:val="TableText"/>
            </w:pPr>
          </w:p>
        </w:tc>
        <w:tc>
          <w:tcPr>
            <w:tcW w:w="624" w:type="dxa"/>
            <w:tcBorders>
              <w:top w:val="nil"/>
              <w:left w:val="nil"/>
              <w:bottom w:val="nil"/>
              <w:right w:val="nil"/>
            </w:tcBorders>
          </w:tcPr>
          <w:p w14:paraId="18321B5A" w14:textId="77777777" w:rsidR="00670275" w:rsidRDefault="00670275" w:rsidP="006B35D0">
            <w:pPr>
              <w:pStyle w:val="TableText"/>
            </w:pPr>
          </w:p>
        </w:tc>
        <w:tc>
          <w:tcPr>
            <w:tcW w:w="624" w:type="dxa"/>
            <w:tcBorders>
              <w:top w:val="nil"/>
              <w:left w:val="nil"/>
              <w:bottom w:val="nil"/>
              <w:right w:val="nil"/>
            </w:tcBorders>
          </w:tcPr>
          <w:p w14:paraId="555007DD" w14:textId="77777777" w:rsidR="00670275" w:rsidRDefault="00670275" w:rsidP="006B35D0">
            <w:pPr>
              <w:pStyle w:val="TableText"/>
            </w:pPr>
          </w:p>
        </w:tc>
        <w:tc>
          <w:tcPr>
            <w:tcW w:w="624" w:type="dxa"/>
            <w:tcBorders>
              <w:top w:val="nil"/>
              <w:left w:val="nil"/>
              <w:bottom w:val="nil"/>
              <w:right w:val="nil"/>
            </w:tcBorders>
          </w:tcPr>
          <w:p w14:paraId="7A4A7DA7" w14:textId="77777777" w:rsidR="00670275" w:rsidRDefault="00670275" w:rsidP="006B35D0">
            <w:pPr>
              <w:pStyle w:val="TableText"/>
            </w:pPr>
          </w:p>
        </w:tc>
        <w:tc>
          <w:tcPr>
            <w:tcW w:w="624" w:type="dxa"/>
            <w:tcBorders>
              <w:top w:val="nil"/>
              <w:left w:val="nil"/>
              <w:bottom w:val="nil"/>
              <w:right w:val="nil"/>
            </w:tcBorders>
          </w:tcPr>
          <w:p w14:paraId="16C35DBE" w14:textId="77777777" w:rsidR="00670275" w:rsidRDefault="00670275" w:rsidP="006B35D0">
            <w:pPr>
              <w:pStyle w:val="TableText"/>
            </w:pPr>
          </w:p>
        </w:tc>
        <w:tc>
          <w:tcPr>
            <w:tcW w:w="624" w:type="dxa"/>
            <w:tcBorders>
              <w:top w:val="nil"/>
              <w:left w:val="nil"/>
              <w:bottom w:val="nil"/>
              <w:right w:val="nil"/>
            </w:tcBorders>
          </w:tcPr>
          <w:p w14:paraId="5FEFEF0E" w14:textId="77777777" w:rsidR="00670275" w:rsidRDefault="00670275" w:rsidP="006B35D0">
            <w:pPr>
              <w:pStyle w:val="TableText"/>
            </w:pPr>
          </w:p>
        </w:tc>
        <w:tc>
          <w:tcPr>
            <w:tcW w:w="4023" w:type="dxa"/>
            <w:tcBorders>
              <w:top w:val="nil"/>
              <w:left w:val="nil"/>
              <w:bottom w:val="nil"/>
              <w:right w:val="nil"/>
            </w:tcBorders>
          </w:tcPr>
          <w:p w14:paraId="12B2CC4C" w14:textId="77777777" w:rsidR="00670275" w:rsidRPr="004845AE" w:rsidRDefault="00670275" w:rsidP="006B35D0">
            <w:pPr>
              <w:pStyle w:val="TableBlock"/>
            </w:pPr>
            <w:r w:rsidRPr="004845AE">
              <w:rPr>
                <w:rtl/>
              </w:rPr>
              <w:t>(1)</w:t>
            </w:r>
            <w:r w:rsidRPr="004845AE">
              <w:rPr>
                <w:rtl/>
              </w:rPr>
              <w:tab/>
              <w:t>אם הדירקטוריון מונה בין שניים לשלושה חברים, יינתן ייצוג לבני שני המינים;</w:t>
            </w:r>
          </w:p>
        </w:tc>
      </w:tr>
      <w:tr w:rsidR="00670275" w14:paraId="343BD4F0" w14:textId="77777777" w:rsidTr="006B35D0">
        <w:trPr>
          <w:cantSplit/>
        </w:trPr>
        <w:tc>
          <w:tcPr>
            <w:tcW w:w="1871" w:type="dxa"/>
            <w:tcBorders>
              <w:top w:val="nil"/>
              <w:left w:val="nil"/>
              <w:bottom w:val="nil"/>
              <w:right w:val="nil"/>
            </w:tcBorders>
          </w:tcPr>
          <w:p w14:paraId="6A8615A9" w14:textId="77777777" w:rsidR="00670275" w:rsidRDefault="00670275" w:rsidP="006B35D0">
            <w:pPr>
              <w:pStyle w:val="TableSideHeading"/>
            </w:pPr>
          </w:p>
        </w:tc>
        <w:tc>
          <w:tcPr>
            <w:tcW w:w="624" w:type="dxa"/>
            <w:tcBorders>
              <w:top w:val="nil"/>
              <w:left w:val="nil"/>
              <w:bottom w:val="nil"/>
              <w:right w:val="nil"/>
            </w:tcBorders>
          </w:tcPr>
          <w:p w14:paraId="34F9E277" w14:textId="77777777" w:rsidR="00670275" w:rsidRDefault="00670275" w:rsidP="006B35D0">
            <w:pPr>
              <w:pStyle w:val="TableText"/>
            </w:pPr>
          </w:p>
        </w:tc>
        <w:tc>
          <w:tcPr>
            <w:tcW w:w="624" w:type="dxa"/>
            <w:tcBorders>
              <w:top w:val="nil"/>
              <w:left w:val="nil"/>
              <w:bottom w:val="nil"/>
              <w:right w:val="nil"/>
            </w:tcBorders>
          </w:tcPr>
          <w:p w14:paraId="7171C28C" w14:textId="77777777" w:rsidR="00670275" w:rsidRDefault="00670275" w:rsidP="006B35D0">
            <w:pPr>
              <w:pStyle w:val="TableText"/>
            </w:pPr>
          </w:p>
        </w:tc>
        <w:tc>
          <w:tcPr>
            <w:tcW w:w="624" w:type="dxa"/>
            <w:tcBorders>
              <w:top w:val="nil"/>
              <w:left w:val="nil"/>
              <w:bottom w:val="nil"/>
              <w:right w:val="nil"/>
            </w:tcBorders>
          </w:tcPr>
          <w:p w14:paraId="34417477" w14:textId="77777777" w:rsidR="00670275" w:rsidRDefault="00670275" w:rsidP="006B35D0">
            <w:pPr>
              <w:pStyle w:val="TableText"/>
            </w:pPr>
          </w:p>
        </w:tc>
        <w:tc>
          <w:tcPr>
            <w:tcW w:w="624" w:type="dxa"/>
            <w:tcBorders>
              <w:top w:val="nil"/>
              <w:left w:val="nil"/>
              <w:bottom w:val="nil"/>
              <w:right w:val="nil"/>
            </w:tcBorders>
          </w:tcPr>
          <w:p w14:paraId="4E1DB998" w14:textId="77777777" w:rsidR="00670275" w:rsidRDefault="00670275" w:rsidP="006B35D0">
            <w:pPr>
              <w:pStyle w:val="TableText"/>
            </w:pPr>
          </w:p>
        </w:tc>
        <w:tc>
          <w:tcPr>
            <w:tcW w:w="624" w:type="dxa"/>
            <w:tcBorders>
              <w:top w:val="nil"/>
              <w:left w:val="nil"/>
              <w:bottom w:val="nil"/>
              <w:right w:val="nil"/>
            </w:tcBorders>
          </w:tcPr>
          <w:p w14:paraId="6565D72E" w14:textId="77777777" w:rsidR="00670275" w:rsidRDefault="00670275" w:rsidP="006B35D0">
            <w:pPr>
              <w:pStyle w:val="TableText"/>
            </w:pPr>
          </w:p>
        </w:tc>
        <w:tc>
          <w:tcPr>
            <w:tcW w:w="624" w:type="dxa"/>
            <w:tcBorders>
              <w:top w:val="nil"/>
              <w:left w:val="nil"/>
              <w:bottom w:val="nil"/>
              <w:right w:val="nil"/>
            </w:tcBorders>
          </w:tcPr>
          <w:p w14:paraId="0EFCED2F" w14:textId="77777777" w:rsidR="00670275" w:rsidRDefault="00670275" w:rsidP="006B35D0">
            <w:pPr>
              <w:pStyle w:val="TableText"/>
            </w:pPr>
          </w:p>
        </w:tc>
        <w:tc>
          <w:tcPr>
            <w:tcW w:w="4023" w:type="dxa"/>
            <w:tcBorders>
              <w:top w:val="nil"/>
              <w:left w:val="nil"/>
              <w:bottom w:val="nil"/>
              <w:right w:val="nil"/>
            </w:tcBorders>
          </w:tcPr>
          <w:p w14:paraId="1823E604" w14:textId="77777777" w:rsidR="00670275" w:rsidRPr="004845AE" w:rsidRDefault="00670275" w:rsidP="006B35D0">
            <w:pPr>
              <w:pStyle w:val="TableBlock"/>
              <w:rPr>
                <w:rtl/>
              </w:rPr>
            </w:pPr>
            <w:r w:rsidRPr="004845AE">
              <w:rPr>
                <w:rtl/>
              </w:rPr>
              <w:t>(2)</w:t>
            </w:r>
            <w:r w:rsidRPr="004845AE">
              <w:rPr>
                <w:rtl/>
              </w:rPr>
              <w:tab/>
              <w:t>אם הדירקטוריון מונה בין ארבעה לחמישה חברים, לכל אחד מהמינים יהיו לפחות שני נציגים;</w:t>
            </w:r>
          </w:p>
        </w:tc>
      </w:tr>
      <w:tr w:rsidR="00670275" w14:paraId="1BC0B537" w14:textId="77777777" w:rsidTr="006B35D0">
        <w:trPr>
          <w:cantSplit/>
        </w:trPr>
        <w:tc>
          <w:tcPr>
            <w:tcW w:w="1871" w:type="dxa"/>
            <w:tcBorders>
              <w:top w:val="nil"/>
              <w:left w:val="nil"/>
              <w:bottom w:val="nil"/>
              <w:right w:val="nil"/>
            </w:tcBorders>
          </w:tcPr>
          <w:p w14:paraId="7664B87A" w14:textId="77777777" w:rsidR="00670275" w:rsidRDefault="00670275" w:rsidP="006B35D0">
            <w:pPr>
              <w:pStyle w:val="TableSideHeading"/>
            </w:pPr>
          </w:p>
        </w:tc>
        <w:tc>
          <w:tcPr>
            <w:tcW w:w="624" w:type="dxa"/>
            <w:tcBorders>
              <w:top w:val="nil"/>
              <w:left w:val="nil"/>
              <w:bottom w:val="nil"/>
              <w:right w:val="nil"/>
            </w:tcBorders>
          </w:tcPr>
          <w:p w14:paraId="1106107E" w14:textId="77777777" w:rsidR="00670275" w:rsidRDefault="00670275" w:rsidP="006B35D0">
            <w:pPr>
              <w:pStyle w:val="TableText"/>
            </w:pPr>
          </w:p>
        </w:tc>
        <w:tc>
          <w:tcPr>
            <w:tcW w:w="624" w:type="dxa"/>
            <w:tcBorders>
              <w:top w:val="nil"/>
              <w:left w:val="nil"/>
              <w:bottom w:val="nil"/>
              <w:right w:val="nil"/>
            </w:tcBorders>
          </w:tcPr>
          <w:p w14:paraId="30B3621A" w14:textId="77777777" w:rsidR="00670275" w:rsidRDefault="00670275" w:rsidP="006B35D0">
            <w:pPr>
              <w:pStyle w:val="TableText"/>
            </w:pPr>
          </w:p>
        </w:tc>
        <w:tc>
          <w:tcPr>
            <w:tcW w:w="624" w:type="dxa"/>
            <w:tcBorders>
              <w:top w:val="nil"/>
              <w:left w:val="nil"/>
              <w:bottom w:val="nil"/>
              <w:right w:val="nil"/>
            </w:tcBorders>
          </w:tcPr>
          <w:p w14:paraId="6CC75F5A" w14:textId="77777777" w:rsidR="00670275" w:rsidRDefault="00670275" w:rsidP="006B35D0">
            <w:pPr>
              <w:pStyle w:val="TableText"/>
            </w:pPr>
          </w:p>
        </w:tc>
        <w:tc>
          <w:tcPr>
            <w:tcW w:w="624" w:type="dxa"/>
            <w:tcBorders>
              <w:top w:val="nil"/>
              <w:left w:val="nil"/>
              <w:bottom w:val="nil"/>
              <w:right w:val="nil"/>
            </w:tcBorders>
          </w:tcPr>
          <w:p w14:paraId="37A1ECB8" w14:textId="77777777" w:rsidR="00670275" w:rsidRDefault="00670275" w:rsidP="006B35D0">
            <w:pPr>
              <w:pStyle w:val="TableText"/>
            </w:pPr>
          </w:p>
        </w:tc>
        <w:tc>
          <w:tcPr>
            <w:tcW w:w="624" w:type="dxa"/>
            <w:tcBorders>
              <w:top w:val="nil"/>
              <w:left w:val="nil"/>
              <w:bottom w:val="nil"/>
              <w:right w:val="nil"/>
            </w:tcBorders>
          </w:tcPr>
          <w:p w14:paraId="5A030D68" w14:textId="77777777" w:rsidR="00670275" w:rsidRDefault="00670275" w:rsidP="006B35D0">
            <w:pPr>
              <w:pStyle w:val="TableText"/>
            </w:pPr>
          </w:p>
        </w:tc>
        <w:tc>
          <w:tcPr>
            <w:tcW w:w="624" w:type="dxa"/>
            <w:tcBorders>
              <w:top w:val="nil"/>
              <w:left w:val="nil"/>
              <w:bottom w:val="nil"/>
              <w:right w:val="nil"/>
            </w:tcBorders>
          </w:tcPr>
          <w:p w14:paraId="42264252" w14:textId="77777777" w:rsidR="00670275" w:rsidRDefault="00670275" w:rsidP="006B35D0">
            <w:pPr>
              <w:pStyle w:val="TableText"/>
            </w:pPr>
          </w:p>
        </w:tc>
        <w:tc>
          <w:tcPr>
            <w:tcW w:w="4023" w:type="dxa"/>
            <w:tcBorders>
              <w:top w:val="nil"/>
              <w:left w:val="nil"/>
              <w:bottom w:val="nil"/>
              <w:right w:val="nil"/>
            </w:tcBorders>
          </w:tcPr>
          <w:p w14:paraId="50CB2113" w14:textId="77777777" w:rsidR="00670275" w:rsidRPr="004845AE" w:rsidRDefault="00670275" w:rsidP="006B35D0">
            <w:pPr>
              <w:pStyle w:val="TableBlock"/>
              <w:rPr>
                <w:rtl/>
              </w:rPr>
            </w:pPr>
            <w:r w:rsidRPr="004845AE">
              <w:rPr>
                <w:rtl/>
              </w:rPr>
              <w:t>(3)</w:t>
            </w:r>
            <w:r w:rsidRPr="004845AE">
              <w:rPr>
                <w:rtl/>
              </w:rPr>
              <w:tab/>
              <w:t>אם הדירקטוריון מונה בין שישה לשמונה חברים, לכל אחד מהמינים יהיו לפחות שלושה נציגים;</w:t>
            </w:r>
          </w:p>
        </w:tc>
      </w:tr>
      <w:tr w:rsidR="00670275" w14:paraId="06E44328" w14:textId="77777777" w:rsidTr="006B35D0">
        <w:trPr>
          <w:cantSplit/>
        </w:trPr>
        <w:tc>
          <w:tcPr>
            <w:tcW w:w="1871" w:type="dxa"/>
            <w:tcBorders>
              <w:top w:val="nil"/>
              <w:left w:val="nil"/>
              <w:bottom w:val="nil"/>
              <w:right w:val="nil"/>
            </w:tcBorders>
          </w:tcPr>
          <w:p w14:paraId="4AF4B441" w14:textId="77777777" w:rsidR="00670275" w:rsidRDefault="00670275" w:rsidP="006B35D0">
            <w:pPr>
              <w:pStyle w:val="TableSideHeading"/>
            </w:pPr>
          </w:p>
        </w:tc>
        <w:tc>
          <w:tcPr>
            <w:tcW w:w="624" w:type="dxa"/>
            <w:tcBorders>
              <w:top w:val="nil"/>
              <w:left w:val="nil"/>
              <w:bottom w:val="nil"/>
              <w:right w:val="nil"/>
            </w:tcBorders>
          </w:tcPr>
          <w:p w14:paraId="28B40113" w14:textId="77777777" w:rsidR="00670275" w:rsidRDefault="00670275" w:rsidP="006B35D0">
            <w:pPr>
              <w:pStyle w:val="TableText"/>
            </w:pPr>
          </w:p>
        </w:tc>
        <w:tc>
          <w:tcPr>
            <w:tcW w:w="624" w:type="dxa"/>
            <w:tcBorders>
              <w:top w:val="nil"/>
              <w:left w:val="nil"/>
              <w:bottom w:val="nil"/>
              <w:right w:val="nil"/>
            </w:tcBorders>
          </w:tcPr>
          <w:p w14:paraId="1C99F91E" w14:textId="77777777" w:rsidR="00670275" w:rsidRDefault="00670275" w:rsidP="006B35D0">
            <w:pPr>
              <w:pStyle w:val="TableText"/>
            </w:pPr>
          </w:p>
        </w:tc>
        <w:tc>
          <w:tcPr>
            <w:tcW w:w="624" w:type="dxa"/>
            <w:tcBorders>
              <w:top w:val="nil"/>
              <w:left w:val="nil"/>
              <w:bottom w:val="nil"/>
              <w:right w:val="nil"/>
            </w:tcBorders>
          </w:tcPr>
          <w:p w14:paraId="59F6A4C0" w14:textId="77777777" w:rsidR="00670275" w:rsidRDefault="00670275" w:rsidP="006B35D0">
            <w:pPr>
              <w:pStyle w:val="TableText"/>
            </w:pPr>
          </w:p>
        </w:tc>
        <w:tc>
          <w:tcPr>
            <w:tcW w:w="624" w:type="dxa"/>
            <w:tcBorders>
              <w:top w:val="nil"/>
              <w:left w:val="nil"/>
              <w:bottom w:val="nil"/>
              <w:right w:val="nil"/>
            </w:tcBorders>
          </w:tcPr>
          <w:p w14:paraId="661B4412" w14:textId="77777777" w:rsidR="00670275" w:rsidRDefault="00670275" w:rsidP="006B35D0">
            <w:pPr>
              <w:pStyle w:val="TableText"/>
            </w:pPr>
          </w:p>
        </w:tc>
        <w:tc>
          <w:tcPr>
            <w:tcW w:w="624" w:type="dxa"/>
            <w:tcBorders>
              <w:top w:val="nil"/>
              <w:left w:val="nil"/>
              <w:bottom w:val="nil"/>
              <w:right w:val="nil"/>
            </w:tcBorders>
          </w:tcPr>
          <w:p w14:paraId="3F0F5D13" w14:textId="77777777" w:rsidR="00670275" w:rsidRDefault="00670275" w:rsidP="006B35D0">
            <w:pPr>
              <w:pStyle w:val="TableText"/>
            </w:pPr>
          </w:p>
        </w:tc>
        <w:tc>
          <w:tcPr>
            <w:tcW w:w="624" w:type="dxa"/>
            <w:tcBorders>
              <w:top w:val="nil"/>
              <w:left w:val="nil"/>
              <w:bottom w:val="nil"/>
              <w:right w:val="nil"/>
            </w:tcBorders>
          </w:tcPr>
          <w:p w14:paraId="4B728961" w14:textId="77777777" w:rsidR="00670275" w:rsidRDefault="00670275" w:rsidP="006B35D0">
            <w:pPr>
              <w:pStyle w:val="TableText"/>
            </w:pPr>
          </w:p>
        </w:tc>
        <w:tc>
          <w:tcPr>
            <w:tcW w:w="4023" w:type="dxa"/>
            <w:tcBorders>
              <w:top w:val="nil"/>
              <w:left w:val="nil"/>
              <w:bottom w:val="nil"/>
              <w:right w:val="nil"/>
            </w:tcBorders>
          </w:tcPr>
          <w:p w14:paraId="040D2229" w14:textId="77777777" w:rsidR="00670275" w:rsidRPr="004845AE" w:rsidRDefault="00670275" w:rsidP="006B35D0">
            <w:pPr>
              <w:pStyle w:val="TableBlock"/>
              <w:rPr>
                <w:rtl/>
              </w:rPr>
            </w:pPr>
            <w:r w:rsidRPr="004845AE">
              <w:rPr>
                <w:rtl/>
              </w:rPr>
              <w:t>(4)</w:t>
            </w:r>
            <w:r w:rsidRPr="004845AE">
              <w:rPr>
                <w:rtl/>
              </w:rPr>
              <w:tab/>
              <w:t>אם הדירקטוריון מונה תשעה חברים, לכל אחד מהמינים יהיו לפחות ארבעה נציגים;</w:t>
            </w:r>
          </w:p>
        </w:tc>
      </w:tr>
      <w:tr w:rsidR="00670275" w14:paraId="7D2FFFB5" w14:textId="77777777" w:rsidTr="006B35D0">
        <w:trPr>
          <w:cantSplit/>
        </w:trPr>
        <w:tc>
          <w:tcPr>
            <w:tcW w:w="1871" w:type="dxa"/>
            <w:tcBorders>
              <w:top w:val="nil"/>
              <w:left w:val="nil"/>
              <w:bottom w:val="nil"/>
              <w:right w:val="nil"/>
            </w:tcBorders>
          </w:tcPr>
          <w:p w14:paraId="7DF11B36" w14:textId="77777777" w:rsidR="00670275" w:rsidRDefault="00670275" w:rsidP="006B35D0">
            <w:pPr>
              <w:pStyle w:val="TableSideHeading"/>
            </w:pPr>
          </w:p>
        </w:tc>
        <w:tc>
          <w:tcPr>
            <w:tcW w:w="624" w:type="dxa"/>
            <w:tcBorders>
              <w:top w:val="nil"/>
              <w:left w:val="nil"/>
              <w:bottom w:val="nil"/>
              <w:right w:val="nil"/>
            </w:tcBorders>
          </w:tcPr>
          <w:p w14:paraId="25ADE3F9" w14:textId="77777777" w:rsidR="00670275" w:rsidRDefault="00670275" w:rsidP="006B35D0">
            <w:pPr>
              <w:pStyle w:val="TableText"/>
            </w:pPr>
          </w:p>
        </w:tc>
        <w:tc>
          <w:tcPr>
            <w:tcW w:w="624" w:type="dxa"/>
            <w:tcBorders>
              <w:top w:val="nil"/>
              <w:left w:val="nil"/>
              <w:bottom w:val="nil"/>
              <w:right w:val="nil"/>
            </w:tcBorders>
          </w:tcPr>
          <w:p w14:paraId="1B0F9CF4" w14:textId="77777777" w:rsidR="00670275" w:rsidRDefault="00670275" w:rsidP="006B35D0">
            <w:pPr>
              <w:pStyle w:val="TableText"/>
            </w:pPr>
          </w:p>
        </w:tc>
        <w:tc>
          <w:tcPr>
            <w:tcW w:w="624" w:type="dxa"/>
            <w:tcBorders>
              <w:top w:val="nil"/>
              <w:left w:val="nil"/>
              <w:bottom w:val="nil"/>
              <w:right w:val="nil"/>
            </w:tcBorders>
          </w:tcPr>
          <w:p w14:paraId="4104F9C8" w14:textId="77777777" w:rsidR="00670275" w:rsidRDefault="00670275" w:rsidP="006B35D0">
            <w:pPr>
              <w:pStyle w:val="TableText"/>
            </w:pPr>
          </w:p>
        </w:tc>
        <w:tc>
          <w:tcPr>
            <w:tcW w:w="624" w:type="dxa"/>
            <w:tcBorders>
              <w:top w:val="nil"/>
              <w:left w:val="nil"/>
              <w:bottom w:val="nil"/>
              <w:right w:val="nil"/>
            </w:tcBorders>
          </w:tcPr>
          <w:p w14:paraId="76EF4FE2" w14:textId="77777777" w:rsidR="00670275" w:rsidRDefault="00670275" w:rsidP="006B35D0">
            <w:pPr>
              <w:pStyle w:val="TableText"/>
            </w:pPr>
          </w:p>
        </w:tc>
        <w:tc>
          <w:tcPr>
            <w:tcW w:w="624" w:type="dxa"/>
            <w:tcBorders>
              <w:top w:val="nil"/>
              <w:left w:val="nil"/>
              <w:bottom w:val="nil"/>
              <w:right w:val="nil"/>
            </w:tcBorders>
          </w:tcPr>
          <w:p w14:paraId="55D89653" w14:textId="77777777" w:rsidR="00670275" w:rsidRDefault="00670275" w:rsidP="006B35D0">
            <w:pPr>
              <w:pStyle w:val="TableText"/>
            </w:pPr>
          </w:p>
        </w:tc>
        <w:tc>
          <w:tcPr>
            <w:tcW w:w="624" w:type="dxa"/>
            <w:tcBorders>
              <w:top w:val="nil"/>
              <w:left w:val="nil"/>
              <w:bottom w:val="nil"/>
              <w:right w:val="nil"/>
            </w:tcBorders>
          </w:tcPr>
          <w:p w14:paraId="710BC657" w14:textId="77777777" w:rsidR="00670275" w:rsidRDefault="00670275" w:rsidP="006B35D0">
            <w:pPr>
              <w:pStyle w:val="TableText"/>
            </w:pPr>
          </w:p>
        </w:tc>
        <w:tc>
          <w:tcPr>
            <w:tcW w:w="4023" w:type="dxa"/>
            <w:tcBorders>
              <w:top w:val="nil"/>
              <w:left w:val="nil"/>
              <w:bottom w:val="nil"/>
              <w:right w:val="nil"/>
            </w:tcBorders>
          </w:tcPr>
          <w:p w14:paraId="6BC4EFCA" w14:textId="77777777" w:rsidR="00670275" w:rsidRPr="004845AE" w:rsidRDefault="00670275" w:rsidP="006B35D0">
            <w:pPr>
              <w:pStyle w:val="TableBlock"/>
              <w:rPr>
                <w:rtl/>
              </w:rPr>
            </w:pPr>
            <w:r w:rsidRPr="004845AE">
              <w:rPr>
                <w:rtl/>
              </w:rPr>
              <w:t>(5)</w:t>
            </w:r>
            <w:r w:rsidRPr="004845AE">
              <w:rPr>
                <w:rtl/>
              </w:rPr>
              <w:tab/>
              <w:t>אם הדירקטוריון מונה למעלה מתשעה חברים, לכל אחד מהמינים יינתן ייצוג של לפחות 40% מכלל החברים.</w:t>
            </w:r>
          </w:p>
        </w:tc>
      </w:tr>
      <w:tr w:rsidR="00670275" w14:paraId="21D932F6" w14:textId="77777777" w:rsidTr="006B35D0">
        <w:trPr>
          <w:cantSplit/>
        </w:trPr>
        <w:tc>
          <w:tcPr>
            <w:tcW w:w="1871" w:type="dxa"/>
            <w:tcBorders>
              <w:top w:val="nil"/>
              <w:left w:val="nil"/>
              <w:bottom w:val="nil"/>
              <w:right w:val="nil"/>
            </w:tcBorders>
          </w:tcPr>
          <w:p w14:paraId="3571AF2D" w14:textId="77777777" w:rsidR="00670275" w:rsidRDefault="00670275" w:rsidP="006B35D0">
            <w:pPr>
              <w:pStyle w:val="TableSideHeading"/>
            </w:pPr>
          </w:p>
        </w:tc>
        <w:tc>
          <w:tcPr>
            <w:tcW w:w="624" w:type="dxa"/>
            <w:tcBorders>
              <w:top w:val="nil"/>
              <w:left w:val="nil"/>
              <w:bottom w:val="nil"/>
              <w:right w:val="nil"/>
            </w:tcBorders>
          </w:tcPr>
          <w:p w14:paraId="655A24E4" w14:textId="77777777" w:rsidR="00670275" w:rsidRDefault="00670275" w:rsidP="006B35D0">
            <w:pPr>
              <w:pStyle w:val="TableText"/>
            </w:pPr>
          </w:p>
        </w:tc>
        <w:tc>
          <w:tcPr>
            <w:tcW w:w="624" w:type="dxa"/>
            <w:tcBorders>
              <w:top w:val="nil"/>
              <w:left w:val="nil"/>
              <w:bottom w:val="nil"/>
              <w:right w:val="nil"/>
            </w:tcBorders>
          </w:tcPr>
          <w:p w14:paraId="4E462CF9" w14:textId="77777777" w:rsidR="00670275" w:rsidRDefault="00670275" w:rsidP="006B35D0">
            <w:pPr>
              <w:pStyle w:val="TableText"/>
            </w:pPr>
          </w:p>
        </w:tc>
        <w:tc>
          <w:tcPr>
            <w:tcW w:w="624" w:type="dxa"/>
            <w:tcBorders>
              <w:top w:val="nil"/>
              <w:left w:val="nil"/>
              <w:bottom w:val="nil"/>
              <w:right w:val="nil"/>
            </w:tcBorders>
          </w:tcPr>
          <w:p w14:paraId="753826BE" w14:textId="77777777" w:rsidR="00670275" w:rsidRDefault="00670275" w:rsidP="006B35D0">
            <w:pPr>
              <w:pStyle w:val="TableText"/>
            </w:pPr>
          </w:p>
        </w:tc>
        <w:tc>
          <w:tcPr>
            <w:tcW w:w="624" w:type="dxa"/>
            <w:tcBorders>
              <w:top w:val="nil"/>
              <w:left w:val="nil"/>
              <w:bottom w:val="nil"/>
              <w:right w:val="nil"/>
            </w:tcBorders>
          </w:tcPr>
          <w:p w14:paraId="06334282" w14:textId="77777777" w:rsidR="00670275" w:rsidRDefault="00670275" w:rsidP="006B35D0">
            <w:pPr>
              <w:pStyle w:val="TableText"/>
            </w:pPr>
          </w:p>
        </w:tc>
        <w:tc>
          <w:tcPr>
            <w:tcW w:w="624" w:type="dxa"/>
            <w:tcBorders>
              <w:top w:val="nil"/>
              <w:left w:val="nil"/>
              <w:bottom w:val="nil"/>
              <w:right w:val="nil"/>
            </w:tcBorders>
          </w:tcPr>
          <w:p w14:paraId="778B35E3" w14:textId="77777777" w:rsidR="00670275" w:rsidRDefault="00670275" w:rsidP="006B35D0">
            <w:pPr>
              <w:pStyle w:val="TableText"/>
            </w:pPr>
          </w:p>
        </w:tc>
        <w:tc>
          <w:tcPr>
            <w:tcW w:w="4647" w:type="dxa"/>
            <w:gridSpan w:val="2"/>
            <w:tcBorders>
              <w:top w:val="nil"/>
              <w:left w:val="nil"/>
              <w:bottom w:val="nil"/>
              <w:right w:val="nil"/>
            </w:tcBorders>
          </w:tcPr>
          <w:p w14:paraId="329F3C4D" w14:textId="77777777" w:rsidR="00670275" w:rsidRPr="001953C5" w:rsidRDefault="00670275" w:rsidP="006B35D0">
            <w:pPr>
              <w:pStyle w:val="TableBlock"/>
              <w:rPr>
                <w:sz w:val="26"/>
              </w:rPr>
            </w:pPr>
            <w:r>
              <w:rPr>
                <w:sz w:val="26"/>
                <w:rtl/>
              </w:rPr>
              <w:t>(ב)</w:t>
            </w:r>
            <w:r>
              <w:rPr>
                <w:sz w:val="26"/>
                <w:rtl/>
              </w:rPr>
              <w:tab/>
              <w:t xml:space="preserve">ועדת הביקורת תבדוק אם מינוי המועמד לכהונת דירקטור עולה בקנה אחד עם האמור בסעיף קטן (א) </w:t>
            </w:r>
            <w:r w:rsidRPr="00AB3B46">
              <w:rPr>
                <w:sz w:val="26"/>
                <w:rtl/>
              </w:rPr>
              <w:t>ובסעיף 239(ד),</w:t>
            </w:r>
            <w:r>
              <w:rPr>
                <w:sz w:val="26"/>
                <w:rtl/>
              </w:rPr>
              <w:t xml:space="preserve"> ותאשר בחתימת יושב ראש הוועדה את מינוי המועמד, כתנאי לכניסת המינוי לתוקף.</w:t>
            </w:r>
          </w:p>
        </w:tc>
      </w:tr>
      <w:tr w:rsidR="00670275" w14:paraId="468709BF" w14:textId="77777777" w:rsidTr="006B35D0">
        <w:trPr>
          <w:cantSplit/>
        </w:trPr>
        <w:tc>
          <w:tcPr>
            <w:tcW w:w="1871" w:type="dxa"/>
            <w:tcBorders>
              <w:top w:val="nil"/>
              <w:left w:val="nil"/>
              <w:bottom w:val="nil"/>
              <w:right w:val="nil"/>
            </w:tcBorders>
          </w:tcPr>
          <w:p w14:paraId="2484CACE" w14:textId="77777777" w:rsidR="00670275" w:rsidRDefault="00670275" w:rsidP="006B35D0">
            <w:pPr>
              <w:pStyle w:val="TableSideHeading"/>
            </w:pPr>
          </w:p>
        </w:tc>
        <w:tc>
          <w:tcPr>
            <w:tcW w:w="624" w:type="dxa"/>
            <w:tcBorders>
              <w:top w:val="nil"/>
              <w:left w:val="nil"/>
              <w:bottom w:val="nil"/>
              <w:right w:val="nil"/>
            </w:tcBorders>
          </w:tcPr>
          <w:p w14:paraId="15650699" w14:textId="77777777" w:rsidR="00670275" w:rsidRDefault="00670275" w:rsidP="006B35D0">
            <w:pPr>
              <w:pStyle w:val="TableText"/>
            </w:pPr>
          </w:p>
        </w:tc>
        <w:tc>
          <w:tcPr>
            <w:tcW w:w="624" w:type="dxa"/>
            <w:tcBorders>
              <w:top w:val="nil"/>
              <w:left w:val="nil"/>
              <w:bottom w:val="nil"/>
              <w:right w:val="nil"/>
            </w:tcBorders>
          </w:tcPr>
          <w:p w14:paraId="5FBAD32D" w14:textId="77777777" w:rsidR="00670275" w:rsidRDefault="00670275" w:rsidP="006B35D0">
            <w:pPr>
              <w:pStyle w:val="TableText"/>
            </w:pPr>
          </w:p>
        </w:tc>
        <w:tc>
          <w:tcPr>
            <w:tcW w:w="624" w:type="dxa"/>
            <w:tcBorders>
              <w:top w:val="nil"/>
              <w:left w:val="nil"/>
              <w:bottom w:val="nil"/>
              <w:right w:val="nil"/>
            </w:tcBorders>
          </w:tcPr>
          <w:p w14:paraId="1D445D03" w14:textId="77777777" w:rsidR="00670275" w:rsidRDefault="00670275" w:rsidP="006B35D0">
            <w:pPr>
              <w:pStyle w:val="TableText"/>
            </w:pPr>
          </w:p>
        </w:tc>
        <w:tc>
          <w:tcPr>
            <w:tcW w:w="624" w:type="dxa"/>
            <w:tcBorders>
              <w:top w:val="nil"/>
              <w:left w:val="nil"/>
              <w:bottom w:val="nil"/>
              <w:right w:val="nil"/>
            </w:tcBorders>
          </w:tcPr>
          <w:p w14:paraId="62B0F2A3" w14:textId="77777777" w:rsidR="00670275" w:rsidRDefault="00670275" w:rsidP="006B35D0">
            <w:pPr>
              <w:pStyle w:val="TableText"/>
            </w:pPr>
          </w:p>
        </w:tc>
        <w:tc>
          <w:tcPr>
            <w:tcW w:w="624" w:type="dxa"/>
            <w:tcBorders>
              <w:top w:val="nil"/>
              <w:left w:val="nil"/>
              <w:bottom w:val="nil"/>
              <w:right w:val="nil"/>
            </w:tcBorders>
          </w:tcPr>
          <w:p w14:paraId="39593A0C" w14:textId="77777777" w:rsidR="00670275" w:rsidRDefault="00670275" w:rsidP="006B35D0">
            <w:pPr>
              <w:pStyle w:val="TableText"/>
            </w:pPr>
          </w:p>
        </w:tc>
        <w:tc>
          <w:tcPr>
            <w:tcW w:w="4647" w:type="dxa"/>
            <w:gridSpan w:val="2"/>
            <w:tcBorders>
              <w:top w:val="nil"/>
              <w:left w:val="nil"/>
              <w:bottom w:val="nil"/>
              <w:right w:val="nil"/>
            </w:tcBorders>
          </w:tcPr>
          <w:p w14:paraId="2F14A83D" w14:textId="77777777" w:rsidR="00670275" w:rsidRDefault="00670275" w:rsidP="006B35D0">
            <w:pPr>
              <w:pStyle w:val="TableBlock"/>
            </w:pPr>
            <w:r w:rsidRPr="00B6153F">
              <w:rPr>
                <w:sz w:val="26"/>
                <w:rtl/>
              </w:rPr>
              <w:t>(ג</w:t>
            </w:r>
            <w:r>
              <w:rPr>
                <w:sz w:val="26"/>
                <w:rtl/>
              </w:rPr>
              <w:t>)</w:t>
            </w:r>
            <w:r>
              <w:rPr>
                <w:sz w:val="26"/>
                <w:rtl/>
              </w:rPr>
              <w:tab/>
              <w:t>הדירקטוריון ידווח לרשות לניירות ערך אחת לשנה על מספר הנשים המכהנות כחברות דירקטוריון ועל מספר הדירקטורים שמונו בשנה החולפת, בחלוקה לפי מין הדירקטור."</w:t>
            </w:r>
          </w:p>
        </w:tc>
      </w:tr>
      <w:tr w:rsidR="00670275" w14:paraId="13644527" w14:textId="77777777" w:rsidTr="006B35D0">
        <w:trPr>
          <w:cantSplit/>
        </w:trPr>
        <w:tc>
          <w:tcPr>
            <w:tcW w:w="1871" w:type="dxa"/>
            <w:tcBorders>
              <w:top w:val="nil"/>
              <w:left w:val="nil"/>
              <w:bottom w:val="nil"/>
              <w:right w:val="nil"/>
            </w:tcBorders>
          </w:tcPr>
          <w:p w14:paraId="458DB935" w14:textId="77777777" w:rsidR="00670275" w:rsidRPr="00B6153F" w:rsidRDefault="00670275" w:rsidP="006B35D0">
            <w:pPr>
              <w:pStyle w:val="TableSideHeading"/>
              <w:keepLines w:val="0"/>
              <w:rPr>
                <w:sz w:val="26"/>
                <w:highlight w:val="green"/>
                <w:rtl/>
              </w:rPr>
            </w:pPr>
            <w:r w:rsidRPr="00B6153F">
              <w:rPr>
                <w:sz w:val="26"/>
                <w:rtl/>
              </w:rPr>
              <w:t>תיקון סעיף 363א</w:t>
            </w:r>
          </w:p>
        </w:tc>
        <w:tc>
          <w:tcPr>
            <w:tcW w:w="624" w:type="dxa"/>
            <w:tcBorders>
              <w:top w:val="nil"/>
              <w:left w:val="nil"/>
              <w:bottom w:val="nil"/>
              <w:right w:val="nil"/>
            </w:tcBorders>
          </w:tcPr>
          <w:p w14:paraId="6906F168" w14:textId="77777777" w:rsidR="00670275" w:rsidRDefault="00670275" w:rsidP="006B35D0">
            <w:pPr>
              <w:pStyle w:val="TableText"/>
              <w:rPr>
                <w:rtl/>
              </w:rPr>
            </w:pPr>
            <w:r>
              <w:rPr>
                <w:rtl/>
              </w:rPr>
              <w:t>3.</w:t>
            </w:r>
          </w:p>
        </w:tc>
        <w:tc>
          <w:tcPr>
            <w:tcW w:w="7143" w:type="dxa"/>
            <w:gridSpan w:val="6"/>
            <w:tcBorders>
              <w:top w:val="nil"/>
              <w:left w:val="nil"/>
              <w:bottom w:val="nil"/>
              <w:right w:val="nil"/>
            </w:tcBorders>
          </w:tcPr>
          <w:p w14:paraId="4A6803BD" w14:textId="77777777" w:rsidR="00670275" w:rsidRPr="00B6153F" w:rsidRDefault="00670275" w:rsidP="006B35D0">
            <w:pPr>
              <w:pStyle w:val="TableBlock"/>
              <w:rPr>
                <w:rtl/>
              </w:rPr>
            </w:pPr>
            <w:r>
              <w:rPr>
                <w:rtl/>
              </w:rPr>
              <w:t>בסעיף 363א(ב) לחוק העיקרי, אחרי פסקה (13) יבוא:</w:t>
            </w:r>
          </w:p>
        </w:tc>
      </w:tr>
      <w:tr w:rsidR="00670275" w14:paraId="0E2A6C52" w14:textId="77777777" w:rsidTr="006B35D0">
        <w:trPr>
          <w:cantSplit/>
        </w:trPr>
        <w:tc>
          <w:tcPr>
            <w:tcW w:w="1871" w:type="dxa"/>
            <w:tcBorders>
              <w:top w:val="nil"/>
              <w:left w:val="nil"/>
              <w:bottom w:val="nil"/>
              <w:right w:val="nil"/>
            </w:tcBorders>
          </w:tcPr>
          <w:p w14:paraId="08BD9455" w14:textId="77777777" w:rsidR="00670275" w:rsidRPr="00B6153F" w:rsidRDefault="00670275" w:rsidP="006B35D0">
            <w:pPr>
              <w:pStyle w:val="TableSideHeading"/>
              <w:keepLines w:val="0"/>
              <w:rPr>
                <w:sz w:val="26"/>
                <w:rtl/>
              </w:rPr>
            </w:pPr>
          </w:p>
        </w:tc>
        <w:tc>
          <w:tcPr>
            <w:tcW w:w="624" w:type="dxa"/>
            <w:tcBorders>
              <w:top w:val="nil"/>
              <w:left w:val="nil"/>
              <w:bottom w:val="nil"/>
              <w:right w:val="nil"/>
            </w:tcBorders>
          </w:tcPr>
          <w:p w14:paraId="6BF025F7" w14:textId="77777777" w:rsidR="00670275" w:rsidRDefault="00670275" w:rsidP="006B35D0">
            <w:pPr>
              <w:pStyle w:val="TableText"/>
              <w:rPr>
                <w:rtl/>
              </w:rPr>
            </w:pPr>
          </w:p>
        </w:tc>
        <w:tc>
          <w:tcPr>
            <w:tcW w:w="7143" w:type="dxa"/>
            <w:gridSpan w:val="6"/>
            <w:tcBorders>
              <w:top w:val="nil"/>
              <w:left w:val="nil"/>
              <w:bottom w:val="nil"/>
              <w:right w:val="nil"/>
            </w:tcBorders>
          </w:tcPr>
          <w:p w14:paraId="76ED718F" w14:textId="77777777" w:rsidR="00670275" w:rsidRDefault="00670275" w:rsidP="006B35D0">
            <w:pPr>
              <w:pStyle w:val="TableBlock"/>
              <w:rPr>
                <w:rtl/>
              </w:rPr>
            </w:pPr>
            <w:r>
              <w:rPr>
                <w:rtl/>
              </w:rPr>
              <w:t>"(14)</w:t>
            </w:r>
            <w:r>
              <w:rPr>
                <w:rtl/>
              </w:rPr>
              <w:tab/>
            </w:r>
            <w:r w:rsidRPr="00B6153F">
              <w:rPr>
                <w:rtl/>
              </w:rPr>
              <w:t>בחברה לא ניתן ביטוי הולם לבני שני המינים בדירקטוריון, בניגוד להוראות סעיף 219א.</w:t>
            </w:r>
            <w:r>
              <w:rPr>
                <w:rtl/>
              </w:rPr>
              <w:t>"</w:t>
            </w:r>
          </w:p>
        </w:tc>
      </w:tr>
      <w:tr w:rsidR="00670275" w14:paraId="4BD547AE" w14:textId="77777777" w:rsidTr="006B35D0">
        <w:trPr>
          <w:cantSplit/>
        </w:trPr>
        <w:tc>
          <w:tcPr>
            <w:tcW w:w="1871" w:type="dxa"/>
            <w:tcBorders>
              <w:top w:val="nil"/>
              <w:left w:val="nil"/>
              <w:bottom w:val="nil"/>
              <w:right w:val="nil"/>
            </w:tcBorders>
          </w:tcPr>
          <w:p w14:paraId="0C8A3286" w14:textId="77777777" w:rsidR="00670275" w:rsidRPr="00B6153F" w:rsidRDefault="00670275" w:rsidP="006B35D0">
            <w:pPr>
              <w:pStyle w:val="TableSideHeading"/>
              <w:keepLines w:val="0"/>
              <w:rPr>
                <w:sz w:val="26"/>
              </w:rPr>
            </w:pPr>
            <w:r w:rsidRPr="00B6153F">
              <w:rPr>
                <w:sz w:val="26"/>
                <w:rtl/>
              </w:rPr>
              <w:t>תחילה</w:t>
            </w:r>
            <w:r>
              <w:rPr>
                <w:sz w:val="26"/>
                <w:rtl/>
              </w:rPr>
              <w:t xml:space="preserve"> ותחולה </w:t>
            </w:r>
          </w:p>
        </w:tc>
        <w:tc>
          <w:tcPr>
            <w:tcW w:w="624" w:type="dxa"/>
            <w:tcBorders>
              <w:top w:val="nil"/>
              <w:left w:val="nil"/>
              <w:bottom w:val="nil"/>
              <w:right w:val="nil"/>
            </w:tcBorders>
          </w:tcPr>
          <w:p w14:paraId="2CC10304" w14:textId="77777777" w:rsidR="00670275" w:rsidRPr="00B6153F" w:rsidRDefault="00670275" w:rsidP="006B35D0">
            <w:pPr>
              <w:pStyle w:val="TableText"/>
              <w:rPr>
                <w:sz w:val="26"/>
              </w:rPr>
            </w:pPr>
            <w:r>
              <w:rPr>
                <w:sz w:val="26"/>
                <w:rtl/>
              </w:rPr>
              <w:t>4</w:t>
            </w:r>
            <w:r w:rsidRPr="00B6153F">
              <w:rPr>
                <w:sz w:val="26"/>
                <w:rtl/>
              </w:rPr>
              <w:t>.</w:t>
            </w:r>
          </w:p>
        </w:tc>
        <w:tc>
          <w:tcPr>
            <w:tcW w:w="7143" w:type="dxa"/>
            <w:gridSpan w:val="6"/>
            <w:tcBorders>
              <w:top w:val="nil"/>
              <w:left w:val="nil"/>
              <w:bottom w:val="nil"/>
              <w:right w:val="nil"/>
            </w:tcBorders>
          </w:tcPr>
          <w:p w14:paraId="039D7D1C" w14:textId="4F4077C3" w:rsidR="00670275" w:rsidRPr="00B6153F" w:rsidRDefault="0080690D" w:rsidP="006B35D0">
            <w:pPr>
              <w:pStyle w:val="TableBlock"/>
              <w:rPr>
                <w:sz w:val="26"/>
              </w:rPr>
            </w:pPr>
            <w:r>
              <w:rPr>
                <w:sz w:val="26"/>
                <w:rtl/>
              </w:rPr>
              <w:t xml:space="preserve">תחילתו של חוק זה </w:t>
            </w:r>
            <w:r>
              <w:rPr>
                <w:rFonts w:hint="cs"/>
                <w:sz w:val="26"/>
                <w:rtl/>
              </w:rPr>
              <w:t>ב</w:t>
            </w:r>
            <w:r w:rsidR="00670275" w:rsidRPr="00B6153F">
              <w:rPr>
                <w:sz w:val="26"/>
                <w:rtl/>
              </w:rPr>
              <w:t>יום פרסומו</w:t>
            </w:r>
            <w:r w:rsidR="00670275">
              <w:rPr>
                <w:sz w:val="26"/>
                <w:rtl/>
              </w:rPr>
              <w:t>,</w:t>
            </w:r>
            <w:r w:rsidR="00670275" w:rsidRPr="00B6153F">
              <w:rPr>
                <w:sz w:val="26"/>
                <w:rtl/>
              </w:rPr>
              <w:t xml:space="preserve"> והוא יחול על חברה ציבורית שקמה לאחר יום התחילה, ובתום שלוש שנים מיום התחילה על כל חברה ציבורית. </w:t>
            </w:r>
          </w:p>
        </w:tc>
      </w:tr>
    </w:tbl>
    <w:p w14:paraId="37A56361" w14:textId="77777777" w:rsidR="00670275" w:rsidRDefault="00670275" w:rsidP="00670275">
      <w:pPr>
        <w:pStyle w:val="HeadDivreiHesber"/>
        <w:rPr>
          <w:rtl/>
        </w:rPr>
      </w:pPr>
      <w:r w:rsidRPr="0027450A">
        <w:rPr>
          <w:rFonts w:hint="cs"/>
          <w:rtl/>
        </w:rPr>
        <w:t>דברי הסבר</w:t>
      </w:r>
    </w:p>
    <w:p w14:paraId="5EE251FC" w14:textId="77777777" w:rsidR="00670275" w:rsidRPr="001F5960" w:rsidRDefault="00670275" w:rsidP="00670275">
      <w:pPr>
        <w:pStyle w:val="Hesber"/>
        <w:rPr>
          <w:rtl/>
        </w:rPr>
      </w:pPr>
      <w:r w:rsidRPr="001F5960">
        <w:rPr>
          <w:rtl/>
        </w:rPr>
        <w:t xml:space="preserve">על אף שעיקרון השוויון הוא "נשמת אפה" של שיטת המשפט הנהוגה בארצנו, קיים תת ייצוג בולט לנשים בדירקטוריונים של חברות ציבוריות הנסחרות בבורסה. </w:t>
      </w:r>
    </w:p>
    <w:p w14:paraId="2B7010E8" w14:textId="77777777" w:rsidR="00670275" w:rsidRPr="001F5960" w:rsidRDefault="00670275" w:rsidP="00670275">
      <w:pPr>
        <w:pStyle w:val="Hesber"/>
        <w:rPr>
          <w:rtl/>
        </w:rPr>
      </w:pPr>
      <w:r w:rsidRPr="001F5960">
        <w:rPr>
          <w:rtl/>
        </w:rPr>
        <w:t>מטרת הצעת חוק זו היא הרחבת ייצוגן של נשים בדירקטוריונים של חברות ציבוריות הנסחרות בבורסה, הן מכוח עיקרון השוויון והן מתוך הכרה בחשיבותן ותרומתן של נשים בהשאת הרווחים של חברות מסחריות אלה.</w:t>
      </w:r>
    </w:p>
    <w:p w14:paraId="05455E64" w14:textId="69308E2D" w:rsidR="00670275" w:rsidRPr="001F5960" w:rsidRDefault="00670275" w:rsidP="00670275">
      <w:pPr>
        <w:pStyle w:val="Hesber"/>
        <w:rPr>
          <w:rtl/>
        </w:rPr>
      </w:pPr>
      <w:r w:rsidRPr="001F5960">
        <w:rPr>
          <w:rtl/>
        </w:rPr>
        <w:t>כיום קיימים מגוון חוקים הנוגעים לעולם העבודה ולייצוג הולם לנשים: התיקון לחוק שיווי זכויות הא</w:t>
      </w:r>
      <w:r w:rsidRPr="001F5960">
        <w:rPr>
          <w:rFonts w:hint="cs"/>
          <w:rtl/>
        </w:rPr>
        <w:t>י</w:t>
      </w:r>
      <w:r w:rsidRPr="001F5960">
        <w:rPr>
          <w:rtl/>
        </w:rPr>
        <w:t xml:space="preserve">שה, </w:t>
      </w:r>
      <w:proofErr w:type="spellStart"/>
      <w:r w:rsidRPr="001F5960">
        <w:rPr>
          <w:rtl/>
        </w:rPr>
        <w:t>התשי"א</w:t>
      </w:r>
      <w:proofErr w:type="spellEnd"/>
      <w:r w:rsidRPr="001F5960">
        <w:rPr>
          <w:rtl/>
        </w:rPr>
        <w:t xml:space="preserve">–1951, בעניין ייצוג הולם נחקק בשנת תש"ס, ובו הוראה מקיפה הקובעת כי בגוף ציבורי ובוועדות המכרזים והמינויים של גוף ציבורי יינתן ביטוי הולם, בנסיבות העניין, לייצוגן של נשים (סעיף 6ג); בחוק החברות הממשלתיות, </w:t>
      </w:r>
      <w:proofErr w:type="spellStart"/>
      <w:r w:rsidRPr="001F5960">
        <w:rPr>
          <w:rtl/>
        </w:rPr>
        <w:t>התשל"ה</w:t>
      </w:r>
      <w:proofErr w:type="spellEnd"/>
      <w:r w:rsidRPr="001F5960">
        <w:rPr>
          <w:rtl/>
        </w:rPr>
        <w:t xml:space="preserve">–1975, יש הוראה ספציפית בדבר ייצוג הולם בחברות ממשלתיות, לפיה בהרכב דירקטוריון של חברה ממשלתית יינתן ביטוי הולם לייצוגם של בני שני המינים (סעיף 18א). מכוח סעיף 60א לחוק זה הורחבה הוראה זו גם על דירקטוריונים של תאגידים אשר הוקמו על פי דין; אף בחוק שירות המדינה (מינויים), </w:t>
      </w:r>
      <w:proofErr w:type="spellStart"/>
      <w:r w:rsidRPr="001F5960">
        <w:rPr>
          <w:rtl/>
        </w:rPr>
        <w:t>התשי"ט</w:t>
      </w:r>
      <w:proofErr w:type="spellEnd"/>
      <w:r w:rsidRPr="001F5960">
        <w:rPr>
          <w:rtl/>
        </w:rPr>
        <w:t xml:space="preserve">–1959, נקבע בסעיף 15א כי בקרב העובדים בשירות המדינה, בכלל הדרגות והמקצועות, בכל משרד ובכל יחידת סמך, יינתן ביטוי הולם, בנסיבות העניין, לייצוגם של בני שני המינים; בחוק החברות, </w:t>
      </w:r>
      <w:proofErr w:type="spellStart"/>
      <w:r w:rsidRPr="001F5960">
        <w:rPr>
          <w:rtl/>
        </w:rPr>
        <w:t>התשנ"ט</w:t>
      </w:r>
      <w:proofErr w:type="spellEnd"/>
      <w:r w:rsidRPr="001F5960">
        <w:rPr>
          <w:rtl/>
        </w:rPr>
        <w:t>–1999, בסעיף 239</w:t>
      </w:r>
      <w:r w:rsidRPr="001F5960">
        <w:rPr>
          <w:rFonts w:hint="cs"/>
          <w:rtl/>
        </w:rPr>
        <w:t>(ד),</w:t>
      </w:r>
      <w:r w:rsidRPr="001F5960">
        <w:rPr>
          <w:rtl/>
        </w:rPr>
        <w:t xml:space="preserve"> נקבע כי </w:t>
      </w:r>
      <w:r w:rsidRPr="001F5960">
        <w:rPr>
          <w:rFonts w:hint="cs"/>
          <w:rtl/>
        </w:rPr>
        <w:t xml:space="preserve">אם </w:t>
      </w:r>
      <w:r w:rsidRPr="001F5960">
        <w:rPr>
          <w:rtl/>
        </w:rPr>
        <w:t>במועד מינוי דירקטור חיצוני כל חברי הדירקטוריון הם בני מין אחד, יהיה הדירקטור החיצוני הממונה בן המין השני.</w:t>
      </w:r>
    </w:p>
    <w:p w14:paraId="5142C817" w14:textId="77777777" w:rsidR="00670275" w:rsidRPr="001F5960" w:rsidRDefault="00670275" w:rsidP="00670275">
      <w:pPr>
        <w:pStyle w:val="Hesber"/>
        <w:rPr>
          <w:rtl/>
        </w:rPr>
      </w:pPr>
      <w:r w:rsidRPr="001F5960">
        <w:rPr>
          <w:rtl/>
        </w:rPr>
        <w:t xml:space="preserve">מטרת הצעת החוק היא השלמת חוליה חסרה של ייצוג הולם לנשים בחברות ציבוריות. התערבות זו </w:t>
      </w:r>
      <w:r w:rsidRPr="001F5960">
        <w:rPr>
          <w:rtl/>
        </w:rPr>
        <w:lastRenderedPageBreak/>
        <w:t xml:space="preserve">נדרשת לאור המחסומים המסכלים קידום נשים לעמדות ניהול בישראל. ראשית, במגזרים רבים במשק הגישה לעמדות בכירות מבוססת במידה רבה על רשתות של קשרים חברתיים ומחויבויות הדדיות כגון קשרים המבוססים על השתייכות פוליטית, שירות צבאי משותף, ניסיון קודם בעבודה וקשרי משפחה. עד מחצית שנות התשעים הובילו קריטריונים אלו ליתרון יחסי של גברים על נשים בגישה לתפקידי ניהול. שנית, ניהול נתפס כעיסוק ה"מעדיף" את אורח החיים הגברי, בהיותו תובעני מאוד. בחברה שבה הטיפול במשפחה עדיין נתפס במידה רבה כתפקידה של האישה, קשה יותר לנשים להגיע לתפקידי ניהול. לאור כל זאת, יש צורך בהתערבות המחוקק, שתבטיח שוויון הזדמנויות </w:t>
      </w:r>
      <w:proofErr w:type="spellStart"/>
      <w:r w:rsidRPr="001F5960">
        <w:rPr>
          <w:rtl/>
        </w:rPr>
        <w:t>אמיתי</w:t>
      </w:r>
      <w:proofErr w:type="spellEnd"/>
      <w:r w:rsidRPr="001F5960">
        <w:rPr>
          <w:rtl/>
        </w:rPr>
        <w:t xml:space="preserve"> ומהותי לנשים בעמדות מפתח. </w:t>
      </w:r>
    </w:p>
    <w:p w14:paraId="0A03092E" w14:textId="06CB4CFC" w:rsidR="00670275" w:rsidRPr="001F5960" w:rsidRDefault="00670275" w:rsidP="00670275">
      <w:pPr>
        <w:pStyle w:val="Hesber"/>
        <w:rPr>
          <w:rtl/>
        </w:rPr>
      </w:pPr>
      <w:r w:rsidRPr="001F5960">
        <w:rPr>
          <w:rtl/>
        </w:rPr>
        <w:t xml:space="preserve">הצעת החוק קובעת כי בהרכב דירקטוריון של חברה ציבורית יינתן ביטוי הולם לייצוגם של בני שני המינים, כמפורט בסעיף 2 להצעת החוק. כמו כן, מוצע כי יושב ראש ועדת הביקורת של החברה יצטרך לאשר בחתימתו, כתנאי לכניסת המינוי לתוקף, כי מינוי מועמד לכהונת דירקטור תואם את דרישות הייצוג ההולם שבסעיף </w:t>
      </w:r>
      <w:r w:rsidRPr="001F5960">
        <w:rPr>
          <w:rFonts w:hint="cs"/>
          <w:rtl/>
        </w:rPr>
        <w:t>2</w:t>
      </w:r>
      <w:r w:rsidRPr="001F5960">
        <w:rPr>
          <w:rtl/>
        </w:rPr>
        <w:t xml:space="preserve"> להצעה זו ואת דרישות סעיף 239(ד) לחוק, לפיו יש חובת מינוי של דירקטור חיצוני בן המין השני, במקרה שבו כל חברי הדירקטוריון שאינם בעלי השליטה בחברה או קרוביהם הם בני מין אחד.</w:t>
      </w:r>
    </w:p>
    <w:p w14:paraId="3183CFA0" w14:textId="77777777" w:rsidR="00670275" w:rsidRPr="001F5960" w:rsidRDefault="00670275" w:rsidP="00670275">
      <w:pPr>
        <w:pStyle w:val="Hesber"/>
        <w:rPr>
          <w:rtl/>
        </w:rPr>
      </w:pPr>
      <w:r w:rsidRPr="001F5960">
        <w:rPr>
          <w:rFonts w:hint="cs"/>
          <w:rtl/>
        </w:rPr>
        <w:t>כמו כן</w:t>
      </w:r>
      <w:r w:rsidRPr="001F5960">
        <w:rPr>
          <w:rtl/>
        </w:rPr>
        <w:t xml:space="preserve">, מוצע להוסיף לסעיף 117 לחוק, העוסק בתפקידי ועדת הביקורת, את סמכותה של ועדת הביקורת לבחון אם מינוי מועמד לכהונת דירקטור מקיים את הוראות הייצוג ההולם שבסעיף 219א המוצע ובסעיף 239(ד) לחוק. </w:t>
      </w:r>
    </w:p>
    <w:p w14:paraId="28C10385" w14:textId="77777777" w:rsidR="00670275" w:rsidRPr="001F5960" w:rsidRDefault="00670275" w:rsidP="00670275">
      <w:pPr>
        <w:pStyle w:val="Hesber"/>
        <w:rPr>
          <w:rtl/>
        </w:rPr>
      </w:pPr>
      <w:r w:rsidRPr="001F5960">
        <w:rPr>
          <w:rtl/>
        </w:rPr>
        <w:t xml:space="preserve">סעיף 363א לחוק מפרט רשימה של הוראות בחוק החברות שהפרתן מאפשרת הטלת עיצום כספי על ידי הרשות לניירות ערך. הצעת החוק מוסיפה לרשימה זו את ההוראה המחייבת חברה למנות דירקטורים באופן שייתן ביטוי הולם לייצוגם של בני שני המינים, כך שהרשות תוכל להטיל עיצום כספי גם בשל הפרת הוראה זו. </w:t>
      </w:r>
    </w:p>
    <w:p w14:paraId="0FB0C95B" w14:textId="405523F5" w:rsidR="00670275" w:rsidRPr="001F5960" w:rsidRDefault="00670275" w:rsidP="00670275">
      <w:pPr>
        <w:pStyle w:val="Hesber"/>
        <w:rPr>
          <w:rtl/>
        </w:rPr>
      </w:pPr>
      <w:r w:rsidRPr="001F5960">
        <w:rPr>
          <w:rFonts w:hint="cs"/>
          <w:rtl/>
        </w:rPr>
        <w:t>כדי</w:t>
      </w:r>
      <w:r w:rsidRPr="001F5960">
        <w:rPr>
          <w:rtl/>
        </w:rPr>
        <w:t xml:space="preserve"> לאפשר פיקוח ואכיפה, מוצע לקבוע חובת דיווח שנתי לרשות לניירות ערך לגבי מין הדירקטורים ומספר הדירקטורים החדשים שמונו באותה שנה, כמו גם מספר הנשים שמונו מתוך סך הדירקטורים החדשים. </w:t>
      </w:r>
    </w:p>
    <w:p w14:paraId="0C2958D7" w14:textId="6E04188A" w:rsidR="00670275" w:rsidRPr="001F5960" w:rsidRDefault="00670275" w:rsidP="00670275">
      <w:pPr>
        <w:pStyle w:val="Hesber"/>
        <w:rPr>
          <w:rtl/>
        </w:rPr>
      </w:pPr>
      <w:r w:rsidRPr="001F5960">
        <w:rPr>
          <w:rtl/>
        </w:rPr>
        <w:t xml:space="preserve">להצעת חוק זו יש חשיבות רבה כיוון שחברות ציבוריות הנסחרות בבורסה משפיעות רבות על הציבור בכללותו. חברות אלה מקבלות מהמדינה שירותים והגנות אשר מבטיחים את קיומן ועל כן זכותה וחובתה של המדינה להחיל גם על חברות אלה את עקרון היסוד של שיטת המשפט במדינתנו, הוא עקרון השוויון. להצעת חוק זו יש גם חשיבות כלכלית לא מבוטלת, שכן ממחקרים של ארגון </w:t>
      </w:r>
      <w:r w:rsidRPr="001F5960">
        <w:t>Catalyst"</w:t>
      </w:r>
      <w:r w:rsidRPr="001F5960">
        <w:rPr>
          <w:rtl/>
        </w:rPr>
        <w:t>" עולה שחברות שלהן יש שיעור השתתפות גבוה של נשים בתפקידי הנהלה בכירים השיגו תוצאות עסקיות טובות יותר מחברות שהיה בהן ייצוג נמוך לנשים בהנהלה.</w:t>
      </w:r>
    </w:p>
    <w:p w14:paraId="2941ED19" w14:textId="77777777" w:rsidR="00670275" w:rsidRPr="001F5960" w:rsidRDefault="00670275" w:rsidP="00670275">
      <w:pPr>
        <w:pStyle w:val="Hesber"/>
        <w:rPr>
          <w:rtl/>
        </w:rPr>
      </w:pPr>
      <w:r w:rsidRPr="001F5960">
        <w:rPr>
          <w:rtl/>
        </w:rPr>
        <w:t xml:space="preserve">הצעת חוק זו מבוססת על חוק החברות הציבוריות הנורבגי, </w:t>
      </w:r>
      <w:r w:rsidRPr="001F5960">
        <w:t>Public Limited Companies</w:t>
      </w:r>
      <w:r w:rsidRPr="001F5960">
        <w:rPr>
          <w:rtl/>
        </w:rPr>
        <w:t>, אשר אושר על ידי הפרלמנט הנורבגי בשנת 2003.</w:t>
      </w:r>
      <w:r w:rsidRPr="001F5960">
        <w:rPr>
          <w:rFonts w:hint="cs"/>
          <w:rtl/>
        </w:rPr>
        <w:t xml:space="preserve"> </w:t>
      </w:r>
      <w:r w:rsidRPr="001F5960">
        <w:rPr>
          <w:rtl/>
        </w:rPr>
        <w:t>הצעת חוק זו היא פרי יוזמה של שדולת הנשים בישראל ורו"ח איר</w:t>
      </w:r>
      <w:r w:rsidRPr="001F5960">
        <w:rPr>
          <w:rFonts w:hint="cs"/>
          <w:rtl/>
        </w:rPr>
        <w:t>י</w:t>
      </w:r>
      <w:r w:rsidRPr="001F5960">
        <w:rPr>
          <w:rtl/>
        </w:rPr>
        <w:t xml:space="preserve">ס שטרק, חברת הנהלת עמותת </w:t>
      </w:r>
      <w:proofErr w:type="spellStart"/>
      <w:r w:rsidRPr="001F5960">
        <w:rPr>
          <w:rtl/>
        </w:rPr>
        <w:t>כ"ן</w:t>
      </w:r>
      <w:proofErr w:type="spellEnd"/>
      <w:r w:rsidRPr="001F5960">
        <w:rPr>
          <w:rtl/>
        </w:rPr>
        <w:t>.</w:t>
      </w:r>
    </w:p>
    <w:p w14:paraId="6131AC60" w14:textId="2E2E61FE" w:rsidR="00670275" w:rsidRPr="001F5960" w:rsidRDefault="00670275" w:rsidP="00670275">
      <w:pPr>
        <w:pStyle w:val="Hesber"/>
        <w:rPr>
          <w:rtl/>
        </w:rPr>
      </w:pPr>
      <w:r w:rsidRPr="001F5960">
        <w:rPr>
          <w:rtl/>
        </w:rPr>
        <w:t>הצעות חוק דומות בעיקרן הונחו על שולחן הכנסת השמונה-עשרה על ידי חבר</w:t>
      </w:r>
      <w:r w:rsidRPr="001F5960">
        <w:rPr>
          <w:rFonts w:hint="cs"/>
          <w:rtl/>
        </w:rPr>
        <w:t>ת</w:t>
      </w:r>
      <w:r w:rsidRPr="001F5960">
        <w:rPr>
          <w:rtl/>
        </w:rPr>
        <w:t xml:space="preserve"> הכנסת </w:t>
      </w:r>
      <w:r w:rsidRPr="001F5960">
        <w:rPr>
          <w:rFonts w:hint="cs"/>
          <w:rtl/>
        </w:rPr>
        <w:t>אורית זוארץ</w:t>
      </w:r>
      <w:r w:rsidRPr="001F5960">
        <w:rPr>
          <w:rtl/>
        </w:rPr>
        <w:t xml:space="preserve"> וקבוצת חברי הכנסת (פ/1999/18) ועל ידי חברת הכנסת זהבה גלאון וקבוצת חברי הכנסת (פ/3238/18), ועל שולחן הכנסת התשע-עשרה על ידי חבר הכנסת דב </w:t>
      </w:r>
      <w:proofErr w:type="spellStart"/>
      <w:r w:rsidRPr="001F5960">
        <w:rPr>
          <w:rtl/>
        </w:rPr>
        <w:t>חנין</w:t>
      </w:r>
      <w:proofErr w:type="spellEnd"/>
      <w:r w:rsidRPr="001F5960">
        <w:rPr>
          <w:rtl/>
        </w:rPr>
        <w:t xml:space="preserve"> וקבוצת חברי הכנסת (פ/612/19). </w:t>
      </w:r>
    </w:p>
    <w:p w14:paraId="72B2D5D4" w14:textId="77777777" w:rsidR="0080690D" w:rsidRDefault="0080690D" w:rsidP="0080690D">
      <w:pPr>
        <w:pStyle w:val="Hesber"/>
        <w:rPr>
          <w:rtl/>
        </w:rPr>
      </w:pPr>
    </w:p>
    <w:p w14:paraId="49AEC5FA" w14:textId="51C215BC" w:rsidR="00670275" w:rsidRPr="001F5960" w:rsidRDefault="00670275" w:rsidP="0080690D">
      <w:pPr>
        <w:pStyle w:val="Hesber"/>
        <w:rPr>
          <w:rtl/>
        </w:rPr>
      </w:pPr>
      <w:r w:rsidRPr="001F5960">
        <w:rPr>
          <w:rtl/>
        </w:rPr>
        <w:t>הצע</w:t>
      </w:r>
      <w:r w:rsidRPr="001F5960">
        <w:rPr>
          <w:rFonts w:hint="cs"/>
          <w:rtl/>
        </w:rPr>
        <w:t>ו</w:t>
      </w:r>
      <w:r w:rsidRPr="001F5960">
        <w:rPr>
          <w:rtl/>
        </w:rPr>
        <w:t>ת חוק זה</w:t>
      </w:r>
      <w:r w:rsidRPr="001F5960">
        <w:rPr>
          <w:rFonts w:hint="cs"/>
          <w:rtl/>
        </w:rPr>
        <w:t>ות</w:t>
      </w:r>
      <w:r w:rsidRPr="001F5960">
        <w:rPr>
          <w:rtl/>
        </w:rPr>
        <w:t xml:space="preserve"> הונח</w:t>
      </w:r>
      <w:r w:rsidRPr="001F5960">
        <w:rPr>
          <w:rFonts w:hint="cs"/>
          <w:rtl/>
        </w:rPr>
        <w:t>ו</w:t>
      </w:r>
      <w:r w:rsidRPr="001F5960">
        <w:rPr>
          <w:rtl/>
        </w:rPr>
        <w:t xml:space="preserve"> על שולחן הכנסת התשע-עשרה על ידי חברת הכנסת זהבה גלאון וקבוצת </w:t>
      </w:r>
      <w:r w:rsidRPr="001F5960">
        <w:rPr>
          <w:rtl/>
        </w:rPr>
        <w:lastRenderedPageBreak/>
        <w:t>חברי הכנסת (פ/1054/19</w:t>
      </w:r>
      <w:r w:rsidRPr="001F5960">
        <w:rPr>
          <w:rFonts w:hint="cs"/>
          <w:rtl/>
        </w:rPr>
        <w:t xml:space="preserve">), על ידי חברת הכנסת </w:t>
      </w:r>
      <w:proofErr w:type="spellStart"/>
      <w:r w:rsidR="0080690D">
        <w:rPr>
          <w:rFonts w:hint="cs"/>
          <w:rtl/>
        </w:rPr>
        <w:t>הכנסת</w:t>
      </w:r>
      <w:proofErr w:type="spellEnd"/>
      <w:r w:rsidR="0080690D">
        <w:rPr>
          <w:rFonts w:hint="cs"/>
          <w:rtl/>
        </w:rPr>
        <w:t xml:space="preserve"> שלי יחימוביץ' וקבוצת חברי</w:t>
      </w:r>
      <w:r w:rsidRPr="001F5960">
        <w:rPr>
          <w:rFonts w:hint="cs"/>
          <w:rtl/>
        </w:rPr>
        <w:t xml:space="preserve"> הכנסת (פ/1183/19) ועל ידי חברי הכנסת עליזה לביא ודב </w:t>
      </w:r>
      <w:proofErr w:type="spellStart"/>
      <w:r w:rsidRPr="001F5960">
        <w:rPr>
          <w:rFonts w:hint="cs"/>
          <w:rtl/>
        </w:rPr>
        <w:t>חנין</w:t>
      </w:r>
      <w:proofErr w:type="spellEnd"/>
      <w:r w:rsidRPr="001F5960">
        <w:rPr>
          <w:rFonts w:hint="cs"/>
          <w:rtl/>
        </w:rPr>
        <w:t xml:space="preserve"> (</w:t>
      </w:r>
      <w:bookmarkStart w:id="9" w:name="LawNum"/>
      <w:r w:rsidRPr="001F5960">
        <w:rPr>
          <w:rtl/>
        </w:rPr>
        <w:t>פ/2435/19</w:t>
      </w:r>
      <w:bookmarkEnd w:id="9"/>
      <w:r w:rsidRPr="001F5960">
        <w:rPr>
          <w:rFonts w:hint="cs"/>
          <w:rtl/>
        </w:rPr>
        <w:t>) ועל שולחן הכנסת העשרים על ידי חברת הכנסת זהבה גלאון וקבוצת חברי הכנסת (</w:t>
      </w:r>
      <w:r w:rsidR="0080690D">
        <w:rPr>
          <w:rFonts w:hint="cs"/>
          <w:rtl/>
        </w:rPr>
        <w:t>פ/132/20).</w:t>
      </w:r>
    </w:p>
    <w:p w14:paraId="50EDDF43" w14:textId="77777777" w:rsidR="00670275" w:rsidRDefault="00670275" w:rsidP="00670275">
      <w:pPr>
        <w:pStyle w:val="Hesber"/>
        <w:rPr>
          <w:rtl/>
        </w:rPr>
      </w:pPr>
    </w:p>
    <w:p w14:paraId="775F7DA1" w14:textId="685A3191" w:rsidR="0080690D" w:rsidRDefault="0080690D" w:rsidP="00670275">
      <w:pPr>
        <w:pStyle w:val="Hesber"/>
        <w:rPr>
          <w:rtl/>
        </w:rPr>
      </w:pPr>
    </w:p>
    <w:p w14:paraId="1B355713" w14:textId="77777777" w:rsidR="0080690D" w:rsidRDefault="0080690D" w:rsidP="00670275">
      <w:pPr>
        <w:pStyle w:val="Hesber"/>
        <w:rPr>
          <w:rtl/>
        </w:rPr>
      </w:pPr>
    </w:p>
    <w:p w14:paraId="51D8E612" w14:textId="77777777" w:rsidR="0080690D" w:rsidRDefault="0080690D" w:rsidP="00670275">
      <w:pPr>
        <w:pStyle w:val="Hesber"/>
        <w:rPr>
          <w:rtl/>
        </w:rPr>
      </w:pPr>
    </w:p>
    <w:p w14:paraId="34D5D7CE" w14:textId="77777777" w:rsidR="0080690D" w:rsidRPr="0022704F" w:rsidRDefault="0080690D" w:rsidP="0080690D">
      <w:pPr>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w:t>
      </w:r>
    </w:p>
    <w:p w14:paraId="0AC4DB3F" w14:textId="77777777" w:rsidR="0080690D" w:rsidRPr="0022704F" w:rsidRDefault="0080690D" w:rsidP="0080690D">
      <w:pPr>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הוגשה ליו"ר הכנסת והסגנים</w:t>
      </w:r>
    </w:p>
    <w:p w14:paraId="3D1BB875" w14:textId="77777777" w:rsidR="0080690D" w:rsidRPr="0022704F" w:rsidRDefault="0080690D" w:rsidP="0080690D">
      <w:pPr>
        <w:ind w:left="340" w:firstLine="0"/>
        <w:rPr>
          <w:rFonts w:ascii="Arial" w:eastAsia="Arial Unicode MS" w:hAnsi="Arial" w:cs="David"/>
          <w:snapToGrid w:val="0"/>
          <w:spacing w:val="0"/>
          <w:sz w:val="20"/>
          <w:szCs w:val="26"/>
          <w:rtl/>
        </w:rPr>
      </w:pPr>
      <w:r w:rsidRPr="0022704F">
        <w:rPr>
          <w:rFonts w:ascii="Arial" w:eastAsia="Arial Unicode MS" w:hAnsi="Arial" w:cs="David"/>
          <w:snapToGrid w:val="0"/>
          <w:spacing w:val="0"/>
          <w:sz w:val="20"/>
          <w:szCs w:val="26"/>
          <w:rtl/>
        </w:rPr>
        <w:t>והונחה על שולחן הכנסת ביום</w:t>
      </w:r>
    </w:p>
    <w:p w14:paraId="6B803FA9" w14:textId="77777777" w:rsidR="0080690D" w:rsidRPr="00935520" w:rsidRDefault="0080690D" w:rsidP="0080690D">
      <w:pPr>
        <w:ind w:left="340" w:firstLine="0"/>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 xml:space="preserve">ט"ו באייר </w:t>
      </w:r>
      <w:proofErr w:type="spellStart"/>
      <w:r>
        <w:rPr>
          <w:rFonts w:ascii="Arial" w:eastAsia="Arial Unicode MS" w:hAnsi="Arial" w:cs="David" w:hint="cs"/>
          <w:snapToGrid w:val="0"/>
          <w:spacing w:val="0"/>
          <w:sz w:val="20"/>
          <w:szCs w:val="26"/>
          <w:rtl/>
        </w:rPr>
        <w:t>התשע"ה</w:t>
      </w:r>
      <w:proofErr w:type="spellEnd"/>
      <w:r w:rsidRPr="00935520">
        <w:rPr>
          <w:rFonts w:ascii="Arial" w:eastAsia="Arial Unicode MS" w:hAnsi="Arial" w:cs="David" w:hint="cs"/>
          <w:snapToGrid w:val="0"/>
          <w:spacing w:val="0"/>
          <w:sz w:val="20"/>
          <w:szCs w:val="26"/>
          <w:rtl/>
        </w:rPr>
        <w:t xml:space="preserve"> – </w:t>
      </w:r>
      <w:r>
        <w:rPr>
          <w:rFonts w:ascii="Arial" w:eastAsia="Arial Unicode MS" w:hAnsi="Arial" w:cs="David" w:hint="cs"/>
          <w:snapToGrid w:val="0"/>
          <w:spacing w:val="0"/>
          <w:sz w:val="20"/>
          <w:szCs w:val="26"/>
          <w:rtl/>
        </w:rPr>
        <w:t>4</w:t>
      </w:r>
      <w:r w:rsidRPr="00935520">
        <w:rPr>
          <w:rFonts w:ascii="Arial" w:eastAsia="Arial Unicode MS" w:hAnsi="Arial" w:cs="David" w:hint="cs"/>
          <w:snapToGrid w:val="0"/>
          <w:spacing w:val="0"/>
          <w:sz w:val="20"/>
          <w:szCs w:val="26"/>
          <w:rtl/>
        </w:rPr>
        <w:t>.</w:t>
      </w:r>
      <w:r>
        <w:rPr>
          <w:rFonts w:ascii="Arial" w:eastAsia="Arial Unicode MS" w:hAnsi="Arial" w:cs="David" w:hint="cs"/>
          <w:snapToGrid w:val="0"/>
          <w:spacing w:val="0"/>
          <w:sz w:val="20"/>
          <w:szCs w:val="26"/>
          <w:rtl/>
        </w:rPr>
        <w:t>5</w:t>
      </w:r>
      <w:r w:rsidRPr="00935520">
        <w:rPr>
          <w:rFonts w:ascii="Arial" w:eastAsia="Arial Unicode MS" w:hAnsi="Arial" w:cs="David" w:hint="cs"/>
          <w:snapToGrid w:val="0"/>
          <w:spacing w:val="0"/>
          <w:sz w:val="20"/>
          <w:szCs w:val="26"/>
          <w:rtl/>
        </w:rPr>
        <w:t>.</w:t>
      </w:r>
      <w:r>
        <w:rPr>
          <w:rFonts w:ascii="Arial" w:eastAsia="Arial Unicode MS" w:hAnsi="Arial" w:cs="David" w:hint="cs"/>
          <w:snapToGrid w:val="0"/>
          <w:spacing w:val="0"/>
          <w:sz w:val="20"/>
          <w:szCs w:val="26"/>
          <w:rtl/>
        </w:rPr>
        <w:t>15</w:t>
      </w:r>
    </w:p>
    <w:p w14:paraId="32172A76" w14:textId="77777777" w:rsidR="0080690D" w:rsidRPr="00E635D3" w:rsidRDefault="0080690D" w:rsidP="0080690D">
      <w:pPr>
        <w:ind w:left="340" w:firstLine="0"/>
        <w:rPr>
          <w:rFonts w:ascii="Arial" w:eastAsia="Arial Unicode MS" w:hAnsi="Arial" w:cs="David"/>
          <w:snapToGrid w:val="0"/>
          <w:spacing w:val="0"/>
          <w:sz w:val="20"/>
          <w:szCs w:val="26"/>
          <w:rtl/>
        </w:rPr>
      </w:pPr>
    </w:p>
    <w:p w14:paraId="7F6961CB" w14:textId="77777777" w:rsidR="00E13C27" w:rsidRPr="00670275" w:rsidRDefault="00E13C27" w:rsidP="00670275">
      <w:pPr>
        <w:rPr>
          <w:rtl/>
        </w:rPr>
      </w:pPr>
    </w:p>
    <w:sectPr w:rsidR="00E13C27" w:rsidRPr="00670275"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2A98F" w14:textId="77777777" w:rsidR="009802BF" w:rsidRDefault="009802BF">
      <w:r>
        <w:separator/>
      </w:r>
    </w:p>
  </w:endnote>
  <w:endnote w:type="continuationSeparator" w:id="0">
    <w:p w14:paraId="3B89B563" w14:textId="77777777" w:rsidR="009802BF" w:rsidRDefault="0098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61D5" w14:textId="77777777" w:rsidR="001A0623" w:rsidRDefault="001A0623"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1A0623" w:rsidRDefault="001A062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61D7" w14:textId="77777777" w:rsidR="001A0623" w:rsidRDefault="001A0623"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80690D">
      <w:rPr>
        <w:rStyle w:val="ab"/>
        <w:noProof/>
        <w:rtl/>
      </w:rPr>
      <w:t>4</w:t>
    </w:r>
    <w:r>
      <w:rPr>
        <w:rStyle w:val="ab"/>
        <w:rtl/>
      </w:rPr>
      <w:fldChar w:fldCharType="end"/>
    </w:r>
  </w:p>
  <w:p w14:paraId="7F6961D8" w14:textId="77777777" w:rsidR="001A0623" w:rsidRDefault="001A062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BD6CB" w14:textId="77777777" w:rsidR="009802BF" w:rsidRDefault="009802BF">
      <w:r>
        <w:separator/>
      </w:r>
    </w:p>
  </w:footnote>
  <w:footnote w:type="continuationSeparator" w:id="0">
    <w:p w14:paraId="0575306C" w14:textId="77777777" w:rsidR="009802BF" w:rsidRDefault="009802BF">
      <w:r>
        <w:continuationSeparator/>
      </w:r>
    </w:p>
  </w:footnote>
  <w:footnote w:type="continuationNotice" w:id="1">
    <w:p w14:paraId="5BAAA187" w14:textId="77777777" w:rsidR="009802BF" w:rsidRDefault="009802BF"/>
  </w:footnote>
  <w:footnote w:id="2">
    <w:p w14:paraId="43DFA56A" w14:textId="77777777" w:rsidR="00670275" w:rsidRDefault="00670275" w:rsidP="00670275">
      <w:pPr>
        <w:pStyle w:val="a4"/>
      </w:pPr>
      <w:r>
        <w:rPr>
          <w:rStyle w:val="a6"/>
        </w:rPr>
        <w:footnoteRef/>
      </w:r>
      <w:r>
        <w:rPr>
          <w:sz w:val="20"/>
          <w:rtl/>
        </w:rPr>
        <w:t xml:space="preserve"> ס"ח </w:t>
      </w:r>
      <w:proofErr w:type="spellStart"/>
      <w:r>
        <w:rPr>
          <w:sz w:val="20"/>
          <w:rtl/>
        </w:rPr>
        <w:t>התשנ"ט</w:t>
      </w:r>
      <w:proofErr w:type="spellEnd"/>
      <w:r>
        <w:rPr>
          <w:sz w:val="20"/>
          <w:rtl/>
        </w:rPr>
        <w:t>, עמ' 189.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Name" w:val="tmp482240lsCopyOriginal.docx"/>
    <w:docVar w:name="StartMode" w:val="2"/>
  </w:docVars>
  <w:rsids>
    <w:rsidRoot w:val="00DB7060"/>
    <w:rsid w:val="0000131B"/>
    <w:rsid w:val="00015B27"/>
    <w:rsid w:val="0007681A"/>
    <w:rsid w:val="000A542E"/>
    <w:rsid w:val="00102B6B"/>
    <w:rsid w:val="001052D4"/>
    <w:rsid w:val="0010644B"/>
    <w:rsid w:val="001207F8"/>
    <w:rsid w:val="00121924"/>
    <w:rsid w:val="001279A8"/>
    <w:rsid w:val="0014195F"/>
    <w:rsid w:val="00152609"/>
    <w:rsid w:val="00153E1B"/>
    <w:rsid w:val="001A0623"/>
    <w:rsid w:val="001C23B0"/>
    <w:rsid w:val="00203A7F"/>
    <w:rsid w:val="002200A1"/>
    <w:rsid w:val="002362BF"/>
    <w:rsid w:val="00241B97"/>
    <w:rsid w:val="00246756"/>
    <w:rsid w:val="00251E58"/>
    <w:rsid w:val="00254605"/>
    <w:rsid w:val="002728B4"/>
    <w:rsid w:val="0027600C"/>
    <w:rsid w:val="00292712"/>
    <w:rsid w:val="002A487D"/>
    <w:rsid w:val="002C2E29"/>
    <w:rsid w:val="002D1EE3"/>
    <w:rsid w:val="002F1D80"/>
    <w:rsid w:val="0031182D"/>
    <w:rsid w:val="003232A2"/>
    <w:rsid w:val="00325C14"/>
    <w:rsid w:val="003710F6"/>
    <w:rsid w:val="00386E88"/>
    <w:rsid w:val="00396585"/>
    <w:rsid w:val="003D74A0"/>
    <w:rsid w:val="004033D8"/>
    <w:rsid w:val="004073F0"/>
    <w:rsid w:val="00412A7D"/>
    <w:rsid w:val="00416B4D"/>
    <w:rsid w:val="00417CFC"/>
    <w:rsid w:val="004B24ED"/>
    <w:rsid w:val="004D0B8F"/>
    <w:rsid w:val="004D2D82"/>
    <w:rsid w:val="004D3876"/>
    <w:rsid w:val="004D58F8"/>
    <w:rsid w:val="004E4552"/>
    <w:rsid w:val="00525A8D"/>
    <w:rsid w:val="00553C9D"/>
    <w:rsid w:val="00562A66"/>
    <w:rsid w:val="005B064E"/>
    <w:rsid w:val="005D51AE"/>
    <w:rsid w:val="0062674B"/>
    <w:rsid w:val="006363B2"/>
    <w:rsid w:val="00644940"/>
    <w:rsid w:val="00670275"/>
    <w:rsid w:val="006818A9"/>
    <w:rsid w:val="006A2D81"/>
    <w:rsid w:val="006C1D0D"/>
    <w:rsid w:val="0070601E"/>
    <w:rsid w:val="00712C72"/>
    <w:rsid w:val="00735FE9"/>
    <w:rsid w:val="00763CAA"/>
    <w:rsid w:val="00765F66"/>
    <w:rsid w:val="007C3FA6"/>
    <w:rsid w:val="007D585A"/>
    <w:rsid w:val="007D5A12"/>
    <w:rsid w:val="007E59F9"/>
    <w:rsid w:val="0080690D"/>
    <w:rsid w:val="00810BCD"/>
    <w:rsid w:val="00812C98"/>
    <w:rsid w:val="00814D92"/>
    <w:rsid w:val="0083181D"/>
    <w:rsid w:val="00874BBC"/>
    <w:rsid w:val="00892135"/>
    <w:rsid w:val="00895449"/>
    <w:rsid w:val="00897879"/>
    <w:rsid w:val="008A6870"/>
    <w:rsid w:val="008C2DDC"/>
    <w:rsid w:val="008C7516"/>
    <w:rsid w:val="008E6EC7"/>
    <w:rsid w:val="008F0D63"/>
    <w:rsid w:val="008F2C35"/>
    <w:rsid w:val="008F6665"/>
    <w:rsid w:val="0091204F"/>
    <w:rsid w:val="009203DB"/>
    <w:rsid w:val="00923CD4"/>
    <w:rsid w:val="00943386"/>
    <w:rsid w:val="009456B6"/>
    <w:rsid w:val="00957589"/>
    <w:rsid w:val="00966D06"/>
    <w:rsid w:val="009802BF"/>
    <w:rsid w:val="00982412"/>
    <w:rsid w:val="00983A8D"/>
    <w:rsid w:val="009A7257"/>
    <w:rsid w:val="009C5ADF"/>
    <w:rsid w:val="009D6E0A"/>
    <w:rsid w:val="00A14672"/>
    <w:rsid w:val="00A26BD6"/>
    <w:rsid w:val="00A443CF"/>
    <w:rsid w:val="00A6611D"/>
    <w:rsid w:val="00A82CB7"/>
    <w:rsid w:val="00AA2F03"/>
    <w:rsid w:val="00AC36F7"/>
    <w:rsid w:val="00AC63A4"/>
    <w:rsid w:val="00AD239E"/>
    <w:rsid w:val="00B10265"/>
    <w:rsid w:val="00B21211"/>
    <w:rsid w:val="00B35784"/>
    <w:rsid w:val="00B733A7"/>
    <w:rsid w:val="00B975AD"/>
    <w:rsid w:val="00BB0382"/>
    <w:rsid w:val="00BC45FB"/>
    <w:rsid w:val="00BF148D"/>
    <w:rsid w:val="00C23B1A"/>
    <w:rsid w:val="00C310EB"/>
    <w:rsid w:val="00C9176A"/>
    <w:rsid w:val="00CF1AA2"/>
    <w:rsid w:val="00D63620"/>
    <w:rsid w:val="00D8410D"/>
    <w:rsid w:val="00D867D7"/>
    <w:rsid w:val="00DB7060"/>
    <w:rsid w:val="00DE3153"/>
    <w:rsid w:val="00E06736"/>
    <w:rsid w:val="00E13C27"/>
    <w:rsid w:val="00E254F9"/>
    <w:rsid w:val="00E33BBD"/>
    <w:rsid w:val="00E45103"/>
    <w:rsid w:val="00E665B9"/>
    <w:rsid w:val="00EA01E6"/>
    <w:rsid w:val="00EA3DE8"/>
    <w:rsid w:val="00EA758F"/>
    <w:rsid w:val="00ED4A6F"/>
    <w:rsid w:val="00EF3A3A"/>
    <w:rsid w:val="00F628D6"/>
    <w:rsid w:val="00F67051"/>
    <w:rsid w:val="00F90AFD"/>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48152549-544A-461F-861E-618F623D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locked/>
    <w:rsid w:val="00E254F9"/>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92BD0-0DA5-4255-95EF-D20BE4617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26BF4C18-8E28-4DE1-959E-CCB9EDFE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5067</Characters>
  <Application>Microsoft Office Word</Application>
  <DocSecurity>0</DocSecurity>
  <Lines>126</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Yarden</cp:lastModifiedBy>
  <cp:revision>2</cp:revision>
  <cp:lastPrinted>2015-04-28T13:21:00Z</cp:lastPrinted>
  <dcterms:created xsi:type="dcterms:W3CDTF">2018-05-21T14:54:00Z</dcterms:created>
  <dcterms:modified xsi:type="dcterms:W3CDTF">2018-05-21T14:54:00Z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0354fdee-f711-4d2a-9cf2-2d1c4d9ac92a</vt:lpwstr>
  </property>
  <property fmtid="{D5CDD505-2E9C-101B-9397-08002B2CF9AE}" pid="4" name="SanhedrinDocumentType">
    <vt:r8>10</vt:r8>
  </property>
  <property fmtid="{D5CDD505-2E9C-101B-9397-08002B2CF9AE}" pid="5" name="SanhedrinItemID">
    <vt:r8>562344</vt:r8>
  </property>
</Properties>
</file>