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2013362</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עליזה לביא</w:t>
      </w:r>
      <w:r>
        <w:br/>
      </w:r>
      <w:r>
        <w:rPr>
          <w:rFonts w:hint="cs"/>
          <w:b/>
          <w:bCs/>
          <w:rtl/>
        </w:rPr>
        <w:t xml:space="preserve"> </w:t>
      </w:r>
      <w:r>
        <w:tab/>
      </w:r>
      <w:r>
        <w:tab/>
      </w:r>
      <w:r>
        <w:tab/>
      </w:r>
      <w:r>
        <w:tab/>
      </w:r>
      <w:r>
        <w:rPr>
          <w:rFonts w:hint="cs"/>
          <w:b/>
          <w:bCs/>
          <w:rtl/>
        </w:rPr>
        <w:t>יהודה גליק</w:t>
      </w:r>
      <w:r>
        <w:br/>
      </w:r>
      <w:r>
        <w:rPr>
          <w:rFonts w:hint="cs"/>
          <w:b/>
          <w:bCs/>
          <w:rtl/>
        </w:rPr>
        <w:t xml:space="preserve"> </w:t>
      </w:r>
      <w:r>
        <w:tab/>
      </w:r>
      <w:r>
        <w:tab/>
      </w:r>
      <w:r>
        <w:tab/>
      </w:r>
      <w:r>
        <w:tab/>
      </w:r>
      <w:r>
        <w:rPr>
          <w:rFonts w:hint="cs"/>
          <w:b/>
          <w:bCs/>
          <w:rtl/>
        </w:rPr>
        <w:t>אלעזר שטרן</w:t>
      </w:r>
      <w:r>
        <w:br/>
      </w:r>
      <w:r>
        <w:rPr>
          <w:rFonts w:hint="cs"/>
          <w:b/>
          <w:bCs/>
          <w:rtl/>
        </w:rPr>
        <w:t xml:space="preserve"> </w:t>
      </w:r>
      <w:r>
        <w:tab/>
      </w:r>
      <w:r>
        <w:tab/>
      </w:r>
      <w:r>
        <w:tab/>
      </w:r>
      <w:r>
        <w:tab/>
      </w:r>
      <w:r>
        <w:rPr>
          <w:rFonts w:hint="cs"/>
          <w:b/>
          <w:bCs/>
          <w:rtl/>
        </w:rPr>
        <w:t>יעקב פרי</w:t>
      </w:r>
      <w:r>
        <w:br/>
      </w:r>
      <w:r>
        <w:rPr>
          <w:rFonts w:hint="cs"/>
          <w:b/>
          <w:bCs/>
          <w:rtl/>
        </w:rPr>
        <w:t xml:space="preserve"> </w:t>
      </w:r>
      <w:r>
        <w:tab/>
      </w:r>
      <w:r>
        <w:tab/>
      </w:r>
      <w:r>
        <w:tab/>
      </w:r>
      <w:r>
        <w:tab/>
      </w:r>
      <w:r>
        <w:rPr>
          <w:rFonts w:hint="cs"/>
          <w:b/>
          <w:bCs/>
          <w:rtl/>
        </w:rPr>
        <w:t>קארין אלהרר</w:t>
      </w:r>
      <w:r>
        <w:br/>
      </w:r>
      <w:r>
        <w:rPr>
          <w:rFonts w:hint="cs"/>
          <w:b/>
          <w:bCs/>
          <w:rtl/>
        </w:rPr>
        <w:t xml:space="preserve"> </w:t>
      </w:r>
      <w:r>
        <w:tab/>
      </w:r>
      <w:r>
        <w:tab/>
      </w:r>
      <w:r>
        <w:tab/>
      </w:r>
      <w:r>
        <w:tab/>
      </w:r>
      <w:r>
        <w:rPr>
          <w:rFonts w:hint="cs"/>
          <w:b/>
          <w:bCs/>
          <w:rtl/>
        </w:rPr>
        <w:t>מיקי לוי</w:t>
      </w:r>
      <w:r>
        <w:br/>
      </w:r>
      <w:r>
        <w:rPr>
          <w:rFonts w:hint="cs"/>
          <w:b/>
          <w:bCs/>
          <w:rtl/>
        </w:rPr>
        <w:t xml:space="preserve"> </w:t>
      </w:r>
      <w:r>
        <w:tab/>
      </w:r>
      <w:r>
        <w:tab/>
      </w:r>
      <w:r>
        <w:tab/>
      </w:r>
      <w:r>
        <w:tab/>
      </w:r>
      <w:r>
        <w:rPr>
          <w:rFonts w:hint="cs"/>
          <w:b/>
          <w:bCs/>
          <w:rtl/>
        </w:rPr>
        <w:t>יעל כהן-פארן</w:t>
      </w:r>
      <w:r>
        <w:br/>
      </w:r>
      <w:r>
        <w:rPr>
          <w:rFonts w:hint="cs"/>
          <w:b/>
          <w:bCs/>
          <w:rtl/>
        </w:rPr>
        <w:t xml:space="preserve"> </w:t>
      </w:r>
      <w:r>
        <w:tab/>
      </w:r>
      <w:r>
        <w:tab/>
      </w:r>
      <w:r>
        <w:tab/>
      </w:r>
      <w:r>
        <w:tab/>
      </w:r>
      <w:r>
        <w:rPr>
          <w:rFonts w:hint="cs"/>
          <w:b/>
          <w:bCs/>
          <w:rtl/>
        </w:rPr>
        <w:t>קסניה סבטלובה</w:t>
      </w:r>
      <w:bookmarkEnd w:id="3"/>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פ/4288/20</w:t>
      </w:r>
      <w:bookmarkEnd w:id="6"/>
    </w:p>
    <w:p w14:paraId="7F6961AC" w14:textId="77777777" w:rsidR="00E13C27" w:rsidRDefault="00E13C27" w:rsidP="00E13C27">
      <w:pPr>
        <w:spacing w:before="0" w:line="360" w:lineRule="auto"/>
        <w:ind w:left="2880" w:firstLine="720"/>
        <w:rPr>
          <w:rFonts w:cs="David"/>
          <w:sz w:val="26"/>
          <w:szCs w:val="26"/>
          <w:rtl/>
        </w:rPr>
      </w:pPr>
    </w:p>
    <w:p w14:paraId="7F6961AD" w14:textId="77777777" w:rsidR="00E13C27" w:rsidRPr="00F67051" w:rsidRDefault="00A443CF" w:rsidP="0021633A">
      <w:pPr>
        <w:pStyle w:val="HeadHatzaotHok"/>
        <w:rPr>
          <w:rtl/>
        </w:rPr>
      </w:pPr>
      <w:bookmarkStart w:id="7" w:name="LGS_Subject"/>
      <w:r>
        <w:rPr>
          <w:rFonts w:hint="cs"/>
          <w:rtl/>
        </w:rPr>
        <w:t>הצעת חוק שירותי הדת היהודיים (תיקון – בחירת החברים במועצה דתית), התשע"ז–2017</w:t>
      </w:r>
      <w:bookmarkEnd w:id="7"/>
    </w:p>
    <w:p w14:paraId="7F6961AE" w14:textId="77777777" w:rsidR="00E13C27" w:rsidRDefault="00E13C27" w:rsidP="0021633A">
      <w:pPr>
        <w:pStyle w:val="HeadDivreiHesber"/>
        <w:spacing w:before="0" w:after="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F248C3" w14:paraId="3D9B61D1" w14:textId="77777777" w:rsidTr="002C3041">
        <w:trPr>
          <w:cantSplit/>
          <w:trHeight w:val="60"/>
        </w:trPr>
        <w:tc>
          <w:tcPr>
            <w:tcW w:w="1871" w:type="dxa"/>
          </w:tcPr>
          <w:p w14:paraId="719E0AA8" w14:textId="77777777" w:rsidR="00F248C3" w:rsidRDefault="00F248C3" w:rsidP="00F248C3">
            <w:pPr>
              <w:pStyle w:val="TableSideHeading"/>
            </w:pPr>
            <w:r>
              <w:rPr>
                <w:rtl/>
              </w:rPr>
              <w:t>תיקון סעיף 3</w:t>
            </w:r>
          </w:p>
          <w:p w14:paraId="6C0CB9D8" w14:textId="77777777" w:rsidR="00F248C3" w:rsidRDefault="00F248C3" w:rsidP="00F248C3">
            <w:pPr>
              <w:pStyle w:val="TableSideHeading"/>
              <w:keepLines w:val="0"/>
            </w:pPr>
          </w:p>
        </w:tc>
        <w:tc>
          <w:tcPr>
            <w:tcW w:w="624" w:type="dxa"/>
          </w:tcPr>
          <w:p w14:paraId="3F4286A2" w14:textId="570BCF9B" w:rsidR="00F248C3" w:rsidRDefault="00F248C3" w:rsidP="00F248C3">
            <w:pPr>
              <w:pStyle w:val="TableText"/>
              <w:keepLines w:val="0"/>
            </w:pPr>
            <w:r>
              <w:rPr>
                <w:rtl/>
              </w:rPr>
              <w:t>1.</w:t>
            </w:r>
          </w:p>
        </w:tc>
        <w:tc>
          <w:tcPr>
            <w:tcW w:w="7146" w:type="dxa"/>
            <w:gridSpan w:val="2"/>
          </w:tcPr>
          <w:p w14:paraId="7633D5BB" w14:textId="6625B9E2" w:rsidR="00F248C3" w:rsidRPr="00C34DE2" w:rsidRDefault="00F248C3" w:rsidP="00F248C3">
            <w:pPr>
              <w:pStyle w:val="TableBlock"/>
              <w:keepLines w:val="0"/>
            </w:pPr>
            <w:r w:rsidRPr="009B1493">
              <w:rPr>
                <w:rtl/>
              </w:rPr>
              <w:t>בחוק שירותי הדת היהודיים [נוסח משולב], התשל"א–1971</w:t>
            </w:r>
            <w:r>
              <w:rPr>
                <w:rStyle w:val="a7"/>
                <w:rtl/>
              </w:rPr>
              <w:footnoteReference w:id="2"/>
            </w:r>
            <w:r w:rsidRPr="009B1493">
              <w:rPr>
                <w:rtl/>
              </w:rPr>
              <w:t xml:space="preserve"> (להלן – החוק העיקרי), בסעיף 3</w:t>
            </w:r>
            <w:r w:rsidR="008965B2">
              <w:rPr>
                <w:rFonts w:hint="cs"/>
                <w:rtl/>
              </w:rPr>
              <w:t xml:space="preserve"> </w:t>
            </w:r>
            <w:r w:rsidRPr="009B1493">
              <w:rPr>
                <w:rtl/>
              </w:rPr>
              <w:t>–</w:t>
            </w:r>
          </w:p>
        </w:tc>
      </w:tr>
      <w:tr w:rsidR="007D6A78" w14:paraId="5A2DE919" w14:textId="77777777" w:rsidTr="002C3041">
        <w:trPr>
          <w:cantSplit/>
          <w:trHeight w:val="60"/>
        </w:trPr>
        <w:tc>
          <w:tcPr>
            <w:tcW w:w="1871" w:type="dxa"/>
          </w:tcPr>
          <w:p w14:paraId="6B66C52B" w14:textId="77777777" w:rsidR="007D6A78" w:rsidRDefault="007D6A78" w:rsidP="00F248C3">
            <w:pPr>
              <w:pStyle w:val="TableSideHeading"/>
              <w:rPr>
                <w:rtl/>
              </w:rPr>
            </w:pPr>
          </w:p>
        </w:tc>
        <w:tc>
          <w:tcPr>
            <w:tcW w:w="624" w:type="dxa"/>
          </w:tcPr>
          <w:p w14:paraId="60A6FEED" w14:textId="77777777" w:rsidR="007D6A78" w:rsidRDefault="007D6A78" w:rsidP="007D6A78">
            <w:pPr>
              <w:pStyle w:val="TableText"/>
              <w:rPr>
                <w:rtl/>
              </w:rPr>
            </w:pPr>
          </w:p>
        </w:tc>
        <w:tc>
          <w:tcPr>
            <w:tcW w:w="7146" w:type="dxa"/>
            <w:gridSpan w:val="2"/>
          </w:tcPr>
          <w:p w14:paraId="018EB121" w14:textId="71A56AF6" w:rsidR="007D6A78" w:rsidRPr="009B1493" w:rsidRDefault="007D6A78" w:rsidP="007D6A78">
            <w:pPr>
              <w:pStyle w:val="TableBlock"/>
              <w:keepLines w:val="0"/>
              <w:rPr>
                <w:rtl/>
              </w:rPr>
            </w:pPr>
            <w:r>
              <w:rPr>
                <w:rFonts w:hint="cs"/>
                <w:rtl/>
              </w:rPr>
              <w:t>(1)</w:t>
            </w:r>
            <w:r>
              <w:rPr>
                <w:rtl/>
              </w:rPr>
              <w:tab/>
            </w:r>
            <w:r>
              <w:rPr>
                <w:rFonts w:hint="cs"/>
                <w:rtl/>
              </w:rPr>
              <w:t xml:space="preserve">בסעיף קטן (א), </w:t>
            </w:r>
            <w:r w:rsidRPr="007D6A78">
              <w:rPr>
                <w:rFonts w:hint="cs"/>
                <w:rtl/>
              </w:rPr>
              <w:t>ברישה, במקום "יציעו" יבוא "ימנו";</w:t>
            </w:r>
          </w:p>
        </w:tc>
      </w:tr>
      <w:tr w:rsidR="00F248C3" w14:paraId="5BDCCD75" w14:textId="77777777" w:rsidTr="002C3041">
        <w:trPr>
          <w:cantSplit/>
          <w:trHeight w:val="60"/>
        </w:trPr>
        <w:tc>
          <w:tcPr>
            <w:tcW w:w="1871" w:type="dxa"/>
          </w:tcPr>
          <w:p w14:paraId="771E4090" w14:textId="77777777" w:rsidR="00F248C3" w:rsidRDefault="00F248C3" w:rsidP="00F248C3">
            <w:pPr>
              <w:pStyle w:val="TableBlock"/>
              <w:rPr>
                <w:rtl/>
              </w:rPr>
            </w:pPr>
          </w:p>
        </w:tc>
        <w:tc>
          <w:tcPr>
            <w:tcW w:w="624" w:type="dxa"/>
          </w:tcPr>
          <w:p w14:paraId="5E9FBF4F" w14:textId="77777777" w:rsidR="00F248C3" w:rsidRDefault="00F248C3" w:rsidP="00F248C3">
            <w:pPr>
              <w:pStyle w:val="TableText"/>
              <w:keepLines w:val="0"/>
              <w:rPr>
                <w:rtl/>
              </w:rPr>
            </w:pPr>
          </w:p>
        </w:tc>
        <w:tc>
          <w:tcPr>
            <w:tcW w:w="7146" w:type="dxa"/>
            <w:gridSpan w:val="2"/>
          </w:tcPr>
          <w:p w14:paraId="317B223A" w14:textId="40C2D8CC" w:rsidR="00F248C3" w:rsidRPr="009B1493" w:rsidRDefault="00F248C3" w:rsidP="00F248C3">
            <w:pPr>
              <w:pStyle w:val="TableBlock"/>
              <w:keepLines w:val="0"/>
              <w:rPr>
                <w:rtl/>
              </w:rPr>
            </w:pPr>
            <w:r>
              <w:rPr>
                <w:rtl/>
              </w:rPr>
              <w:t>(2)</w:t>
            </w:r>
            <w:r>
              <w:rPr>
                <w:rtl/>
              </w:rPr>
              <w:tab/>
              <w:t>סעיף קטן (ב) –  בטל.</w:t>
            </w:r>
          </w:p>
        </w:tc>
      </w:tr>
      <w:tr w:rsidR="00F248C3" w14:paraId="17875C3E" w14:textId="77777777" w:rsidTr="002C3041">
        <w:trPr>
          <w:cantSplit/>
          <w:trHeight w:val="60"/>
        </w:trPr>
        <w:tc>
          <w:tcPr>
            <w:tcW w:w="1871" w:type="dxa"/>
          </w:tcPr>
          <w:p w14:paraId="5B4D2EFF" w14:textId="3EEA71A4" w:rsidR="00F248C3" w:rsidRDefault="00F248C3" w:rsidP="00F248C3">
            <w:pPr>
              <w:pStyle w:val="TableBlock"/>
              <w:rPr>
                <w:rtl/>
              </w:rPr>
            </w:pPr>
            <w:r>
              <w:rPr>
                <w:rtl/>
              </w:rPr>
              <w:t>ביטול סעיף 4</w:t>
            </w:r>
          </w:p>
        </w:tc>
        <w:tc>
          <w:tcPr>
            <w:tcW w:w="624" w:type="dxa"/>
          </w:tcPr>
          <w:p w14:paraId="3B10C2A8" w14:textId="4316867B" w:rsidR="00F248C3" w:rsidRDefault="00F248C3" w:rsidP="00F248C3">
            <w:pPr>
              <w:pStyle w:val="TableText"/>
              <w:keepLines w:val="0"/>
              <w:rPr>
                <w:rtl/>
              </w:rPr>
            </w:pPr>
            <w:r>
              <w:rPr>
                <w:rtl/>
              </w:rPr>
              <w:t>2.</w:t>
            </w:r>
          </w:p>
        </w:tc>
        <w:tc>
          <w:tcPr>
            <w:tcW w:w="7146" w:type="dxa"/>
            <w:gridSpan w:val="2"/>
          </w:tcPr>
          <w:p w14:paraId="0D086E97" w14:textId="5231F7B8" w:rsidR="00F248C3" w:rsidRDefault="00F248C3" w:rsidP="00F248C3">
            <w:pPr>
              <w:pStyle w:val="TableBlock"/>
              <w:keepLines w:val="0"/>
              <w:rPr>
                <w:rtl/>
              </w:rPr>
            </w:pPr>
            <w:r>
              <w:rPr>
                <w:rtl/>
              </w:rPr>
              <w:t>סעיף 4 לחוק העיקרי – בטל.</w:t>
            </w:r>
          </w:p>
        </w:tc>
      </w:tr>
      <w:tr w:rsidR="00F248C3" w14:paraId="6D178F2A" w14:textId="77777777" w:rsidTr="002C3041">
        <w:trPr>
          <w:cantSplit/>
          <w:trHeight w:val="60"/>
        </w:trPr>
        <w:tc>
          <w:tcPr>
            <w:tcW w:w="1871" w:type="dxa"/>
          </w:tcPr>
          <w:p w14:paraId="631BF200" w14:textId="3BDC3B77" w:rsidR="00F248C3" w:rsidRDefault="00F248C3" w:rsidP="00F248C3">
            <w:pPr>
              <w:pStyle w:val="TableBlock"/>
              <w:rPr>
                <w:rtl/>
              </w:rPr>
            </w:pPr>
            <w:r>
              <w:rPr>
                <w:rtl/>
              </w:rPr>
              <w:t>ביטול סעיף 5</w:t>
            </w:r>
          </w:p>
        </w:tc>
        <w:tc>
          <w:tcPr>
            <w:tcW w:w="624" w:type="dxa"/>
          </w:tcPr>
          <w:p w14:paraId="421FC590" w14:textId="0AE20BCA" w:rsidR="00F248C3" w:rsidRDefault="00F248C3" w:rsidP="00F248C3">
            <w:pPr>
              <w:pStyle w:val="TableText"/>
              <w:keepLines w:val="0"/>
              <w:rPr>
                <w:rtl/>
              </w:rPr>
            </w:pPr>
            <w:r>
              <w:rPr>
                <w:rtl/>
              </w:rPr>
              <w:t>3.</w:t>
            </w:r>
          </w:p>
        </w:tc>
        <w:tc>
          <w:tcPr>
            <w:tcW w:w="7146" w:type="dxa"/>
            <w:gridSpan w:val="2"/>
          </w:tcPr>
          <w:p w14:paraId="57EAFDCD" w14:textId="1CEB09C5" w:rsidR="00F248C3" w:rsidRDefault="00F248C3" w:rsidP="00F248C3">
            <w:pPr>
              <w:pStyle w:val="TableBlock"/>
              <w:keepLines w:val="0"/>
              <w:rPr>
                <w:rtl/>
              </w:rPr>
            </w:pPr>
            <w:r>
              <w:rPr>
                <w:rtl/>
              </w:rPr>
              <w:t>סעיף 5 לחוק העיקרי – בטל.</w:t>
            </w:r>
          </w:p>
        </w:tc>
      </w:tr>
      <w:tr w:rsidR="00F248C3" w14:paraId="7958B6F1" w14:textId="77777777" w:rsidTr="002C3041">
        <w:trPr>
          <w:cantSplit/>
          <w:trHeight w:val="60"/>
        </w:trPr>
        <w:tc>
          <w:tcPr>
            <w:tcW w:w="1871" w:type="dxa"/>
          </w:tcPr>
          <w:p w14:paraId="7F8B3E7E" w14:textId="5B6F395B" w:rsidR="00F248C3" w:rsidRDefault="00F248C3" w:rsidP="00F248C3">
            <w:pPr>
              <w:pStyle w:val="TableBlock"/>
              <w:rPr>
                <w:rtl/>
              </w:rPr>
            </w:pPr>
            <w:r>
              <w:rPr>
                <w:rtl/>
              </w:rPr>
              <w:t>תיקון סעיף 6</w:t>
            </w:r>
          </w:p>
        </w:tc>
        <w:tc>
          <w:tcPr>
            <w:tcW w:w="624" w:type="dxa"/>
          </w:tcPr>
          <w:p w14:paraId="1BE97252" w14:textId="54F830FF" w:rsidR="00F248C3" w:rsidRDefault="00F248C3" w:rsidP="00F248C3">
            <w:pPr>
              <w:pStyle w:val="TableText"/>
              <w:keepLines w:val="0"/>
              <w:rPr>
                <w:rtl/>
              </w:rPr>
            </w:pPr>
            <w:r>
              <w:rPr>
                <w:rtl/>
              </w:rPr>
              <w:t>4.</w:t>
            </w:r>
          </w:p>
        </w:tc>
        <w:tc>
          <w:tcPr>
            <w:tcW w:w="7146" w:type="dxa"/>
            <w:gridSpan w:val="2"/>
          </w:tcPr>
          <w:p w14:paraId="65D361B8" w14:textId="507C97C7" w:rsidR="00F248C3" w:rsidRDefault="00F248C3" w:rsidP="00F248C3">
            <w:pPr>
              <w:pStyle w:val="TableBlock"/>
              <w:keepLines w:val="0"/>
              <w:rPr>
                <w:rtl/>
              </w:rPr>
            </w:pPr>
            <w:r>
              <w:rPr>
                <w:rtl/>
              </w:rPr>
              <w:t>בסעיף 6 לחוק העיקרי –</w:t>
            </w:r>
          </w:p>
        </w:tc>
      </w:tr>
      <w:tr w:rsidR="00F248C3" w14:paraId="56D7707F" w14:textId="77777777" w:rsidTr="002C3041">
        <w:trPr>
          <w:cantSplit/>
          <w:trHeight w:val="60"/>
        </w:trPr>
        <w:tc>
          <w:tcPr>
            <w:tcW w:w="1871" w:type="dxa"/>
          </w:tcPr>
          <w:p w14:paraId="374FEC0F" w14:textId="77777777" w:rsidR="00F248C3" w:rsidRDefault="00F248C3" w:rsidP="00F248C3">
            <w:pPr>
              <w:pStyle w:val="TableBlock"/>
              <w:rPr>
                <w:rtl/>
              </w:rPr>
            </w:pPr>
          </w:p>
        </w:tc>
        <w:tc>
          <w:tcPr>
            <w:tcW w:w="624" w:type="dxa"/>
          </w:tcPr>
          <w:p w14:paraId="101FC5DB" w14:textId="77777777" w:rsidR="00F248C3" w:rsidRDefault="00F248C3" w:rsidP="00F248C3">
            <w:pPr>
              <w:pStyle w:val="TableText"/>
              <w:keepLines w:val="0"/>
              <w:rPr>
                <w:rtl/>
              </w:rPr>
            </w:pPr>
          </w:p>
        </w:tc>
        <w:tc>
          <w:tcPr>
            <w:tcW w:w="7146" w:type="dxa"/>
            <w:gridSpan w:val="2"/>
          </w:tcPr>
          <w:p w14:paraId="2DF62432" w14:textId="2203AC47" w:rsidR="00F248C3" w:rsidRDefault="00F248C3" w:rsidP="00F248C3">
            <w:pPr>
              <w:pStyle w:val="TableBlock"/>
              <w:keepLines w:val="0"/>
              <w:rPr>
                <w:rtl/>
              </w:rPr>
            </w:pPr>
            <w:r>
              <w:rPr>
                <w:rtl/>
              </w:rPr>
              <w:t>(1)</w:t>
            </w:r>
            <w:r>
              <w:rPr>
                <w:rtl/>
              </w:rPr>
              <w:tab/>
              <w:t>בסעיף קטן (א) –</w:t>
            </w:r>
          </w:p>
        </w:tc>
      </w:tr>
      <w:tr w:rsidR="00F248C3" w14:paraId="0B43B043" w14:textId="77777777">
        <w:trPr>
          <w:cantSplit/>
          <w:trHeight w:val="60"/>
        </w:trPr>
        <w:tc>
          <w:tcPr>
            <w:tcW w:w="1871" w:type="dxa"/>
          </w:tcPr>
          <w:p w14:paraId="12E27D9E" w14:textId="6C7434A1" w:rsidR="00F248C3" w:rsidRDefault="00F248C3" w:rsidP="00F248C3">
            <w:pPr>
              <w:pStyle w:val="TableSideHeading"/>
            </w:pPr>
          </w:p>
        </w:tc>
        <w:tc>
          <w:tcPr>
            <w:tcW w:w="624" w:type="dxa"/>
          </w:tcPr>
          <w:p w14:paraId="15F9D6EA" w14:textId="77777777" w:rsidR="00F248C3" w:rsidRDefault="00F248C3" w:rsidP="00F248C3">
            <w:pPr>
              <w:pStyle w:val="TableText"/>
            </w:pPr>
          </w:p>
        </w:tc>
        <w:tc>
          <w:tcPr>
            <w:tcW w:w="624" w:type="dxa"/>
          </w:tcPr>
          <w:p w14:paraId="2CB6918C" w14:textId="77777777" w:rsidR="00F248C3" w:rsidRDefault="00F248C3" w:rsidP="00F248C3">
            <w:pPr>
              <w:pStyle w:val="TableText"/>
            </w:pPr>
          </w:p>
        </w:tc>
        <w:tc>
          <w:tcPr>
            <w:tcW w:w="6522" w:type="dxa"/>
          </w:tcPr>
          <w:p w14:paraId="72FA66B9" w14:textId="45C33279" w:rsidR="00F248C3" w:rsidRDefault="00F248C3" w:rsidP="00F248C3">
            <w:pPr>
              <w:pStyle w:val="TableBlock"/>
            </w:pPr>
            <w:r>
              <w:rPr>
                <w:rtl/>
              </w:rPr>
              <w:t>(א)</w:t>
            </w:r>
            <w:r>
              <w:rPr>
                <w:rtl/>
              </w:rPr>
              <w:tab/>
              <w:t>במקום "השר יחדש את הרכבה של כל מועצה" יבוא "הרכב כל מועצה יחודש";</w:t>
            </w:r>
          </w:p>
        </w:tc>
      </w:tr>
      <w:tr w:rsidR="00F248C3" w14:paraId="0290DA09" w14:textId="77777777">
        <w:trPr>
          <w:cantSplit/>
          <w:trHeight w:val="60"/>
        </w:trPr>
        <w:tc>
          <w:tcPr>
            <w:tcW w:w="1871" w:type="dxa"/>
          </w:tcPr>
          <w:p w14:paraId="75C3D54A" w14:textId="77777777" w:rsidR="00F248C3" w:rsidRDefault="00F248C3" w:rsidP="00F248C3">
            <w:pPr>
              <w:pStyle w:val="TableSideHeading"/>
            </w:pPr>
          </w:p>
        </w:tc>
        <w:tc>
          <w:tcPr>
            <w:tcW w:w="624" w:type="dxa"/>
          </w:tcPr>
          <w:p w14:paraId="74DA7C94" w14:textId="77777777" w:rsidR="00F248C3" w:rsidRDefault="00F248C3" w:rsidP="00F248C3">
            <w:pPr>
              <w:pStyle w:val="TableText"/>
            </w:pPr>
          </w:p>
        </w:tc>
        <w:tc>
          <w:tcPr>
            <w:tcW w:w="624" w:type="dxa"/>
          </w:tcPr>
          <w:p w14:paraId="7CEA2DFA" w14:textId="77777777" w:rsidR="00F248C3" w:rsidRDefault="00F248C3" w:rsidP="00F248C3">
            <w:pPr>
              <w:pStyle w:val="TableText"/>
            </w:pPr>
          </w:p>
        </w:tc>
        <w:tc>
          <w:tcPr>
            <w:tcW w:w="6522" w:type="dxa"/>
          </w:tcPr>
          <w:p w14:paraId="3EF2C588" w14:textId="0A0946C4" w:rsidR="00F248C3" w:rsidRDefault="00F248C3" w:rsidP="00F248C3">
            <w:pPr>
              <w:pStyle w:val="TableBlock"/>
              <w:rPr>
                <w:rtl/>
              </w:rPr>
            </w:pPr>
            <w:r>
              <w:rPr>
                <w:rtl/>
              </w:rPr>
              <w:t>(ב)</w:t>
            </w:r>
            <w:r>
              <w:rPr>
                <w:rtl/>
              </w:rPr>
              <w:tab/>
              <w:t>במקום "2 עד 5" יבוא "2 עד 3א";</w:t>
            </w:r>
          </w:p>
        </w:tc>
      </w:tr>
      <w:tr w:rsidR="00F248C3" w14:paraId="2DB36CEC" w14:textId="77777777">
        <w:trPr>
          <w:cantSplit/>
          <w:trHeight w:val="60"/>
        </w:trPr>
        <w:tc>
          <w:tcPr>
            <w:tcW w:w="1871" w:type="dxa"/>
          </w:tcPr>
          <w:p w14:paraId="0B72B83F" w14:textId="77777777" w:rsidR="00F248C3" w:rsidRDefault="00F248C3" w:rsidP="00F248C3">
            <w:pPr>
              <w:pStyle w:val="TableSideHeading"/>
            </w:pPr>
          </w:p>
        </w:tc>
        <w:tc>
          <w:tcPr>
            <w:tcW w:w="624" w:type="dxa"/>
          </w:tcPr>
          <w:p w14:paraId="4B12EEE0" w14:textId="77777777" w:rsidR="00F248C3" w:rsidRDefault="00F248C3" w:rsidP="00F248C3">
            <w:pPr>
              <w:pStyle w:val="TableText"/>
            </w:pPr>
          </w:p>
        </w:tc>
        <w:tc>
          <w:tcPr>
            <w:tcW w:w="624" w:type="dxa"/>
          </w:tcPr>
          <w:p w14:paraId="3062E4BD" w14:textId="77777777" w:rsidR="00F248C3" w:rsidRDefault="00F248C3" w:rsidP="00F248C3">
            <w:pPr>
              <w:pStyle w:val="TableText"/>
            </w:pPr>
          </w:p>
        </w:tc>
        <w:tc>
          <w:tcPr>
            <w:tcW w:w="6522" w:type="dxa"/>
          </w:tcPr>
          <w:p w14:paraId="5CEDE693" w14:textId="57665334" w:rsidR="00F248C3" w:rsidRDefault="00F248C3" w:rsidP="00F248C3">
            <w:pPr>
              <w:pStyle w:val="TableBlock"/>
              <w:rPr>
                <w:rtl/>
              </w:rPr>
            </w:pPr>
            <w:r>
              <w:rPr>
                <w:rtl/>
              </w:rPr>
              <w:t>(ג)</w:t>
            </w:r>
            <w:r>
              <w:rPr>
                <w:rtl/>
              </w:rPr>
              <w:tab/>
              <w:t>במקום "עד תום שנה" יבוא "עד תום 90 ימים";</w:t>
            </w:r>
          </w:p>
        </w:tc>
      </w:tr>
      <w:tr w:rsidR="00F248C3" w14:paraId="0D6BFE14" w14:textId="77777777">
        <w:trPr>
          <w:cantSplit/>
          <w:trHeight w:val="60"/>
        </w:trPr>
        <w:tc>
          <w:tcPr>
            <w:tcW w:w="1871" w:type="dxa"/>
          </w:tcPr>
          <w:p w14:paraId="386E0083" w14:textId="77777777" w:rsidR="00F248C3" w:rsidRDefault="00F248C3" w:rsidP="00F248C3">
            <w:pPr>
              <w:pStyle w:val="TableSideHeading"/>
            </w:pPr>
          </w:p>
        </w:tc>
        <w:tc>
          <w:tcPr>
            <w:tcW w:w="624" w:type="dxa"/>
          </w:tcPr>
          <w:p w14:paraId="6F167EDF" w14:textId="77777777" w:rsidR="00F248C3" w:rsidRDefault="00F248C3" w:rsidP="00F248C3">
            <w:pPr>
              <w:pStyle w:val="TableText"/>
            </w:pPr>
          </w:p>
        </w:tc>
        <w:tc>
          <w:tcPr>
            <w:tcW w:w="624" w:type="dxa"/>
          </w:tcPr>
          <w:p w14:paraId="4D0E36AF" w14:textId="77777777" w:rsidR="00F248C3" w:rsidRDefault="00F248C3" w:rsidP="00F248C3">
            <w:pPr>
              <w:pStyle w:val="TableText"/>
            </w:pPr>
          </w:p>
        </w:tc>
        <w:tc>
          <w:tcPr>
            <w:tcW w:w="6522" w:type="dxa"/>
          </w:tcPr>
          <w:p w14:paraId="3554B336" w14:textId="3DBA4DD1" w:rsidR="00F248C3" w:rsidRDefault="00F248C3" w:rsidP="008965B2">
            <w:pPr>
              <w:pStyle w:val="TableBlock"/>
              <w:rPr>
                <w:rtl/>
              </w:rPr>
            </w:pPr>
            <w:r>
              <w:rPr>
                <w:rtl/>
              </w:rPr>
              <w:t>(ד)</w:t>
            </w:r>
            <w:r>
              <w:rPr>
                <w:rtl/>
              </w:rPr>
              <w:tab/>
              <w:t>בס</w:t>
            </w:r>
            <w:r w:rsidR="008965B2">
              <w:rPr>
                <w:rFonts w:hint="cs"/>
                <w:rtl/>
              </w:rPr>
              <w:t>ו</w:t>
            </w:r>
            <w:r>
              <w:rPr>
                <w:rtl/>
              </w:rPr>
              <w:t>פ</w:t>
            </w:r>
            <w:r w:rsidR="008965B2">
              <w:rPr>
                <w:rFonts w:hint="cs"/>
                <w:rtl/>
              </w:rPr>
              <w:t>ו</w:t>
            </w:r>
            <w:r>
              <w:rPr>
                <w:rtl/>
              </w:rPr>
              <w:t xml:space="preserve"> יבוא "ראש המועצה יכהן בתפקידו חמש שנים מיום הבחירה או עד למועד חידוש המועצה, המוקדם מביניהם";</w:t>
            </w:r>
          </w:p>
        </w:tc>
      </w:tr>
      <w:tr w:rsidR="008965B2" w14:paraId="39BF9740" w14:textId="77777777">
        <w:trPr>
          <w:cantSplit/>
          <w:trHeight w:val="60"/>
        </w:trPr>
        <w:tc>
          <w:tcPr>
            <w:tcW w:w="1871" w:type="dxa"/>
          </w:tcPr>
          <w:p w14:paraId="1D5DE1DF" w14:textId="77777777" w:rsidR="008965B2" w:rsidRDefault="008965B2">
            <w:pPr>
              <w:pStyle w:val="TableSideHeading"/>
            </w:pPr>
          </w:p>
        </w:tc>
        <w:tc>
          <w:tcPr>
            <w:tcW w:w="624" w:type="dxa"/>
          </w:tcPr>
          <w:p w14:paraId="35AED738" w14:textId="77777777" w:rsidR="008965B2" w:rsidRDefault="008965B2">
            <w:pPr>
              <w:pStyle w:val="TableText"/>
            </w:pPr>
          </w:p>
        </w:tc>
        <w:tc>
          <w:tcPr>
            <w:tcW w:w="7146" w:type="dxa"/>
            <w:gridSpan w:val="2"/>
          </w:tcPr>
          <w:p w14:paraId="0F834375" w14:textId="63E63472" w:rsidR="008965B2" w:rsidRPr="00C34DE2" w:rsidRDefault="008965B2">
            <w:pPr>
              <w:pStyle w:val="TableBlock"/>
            </w:pPr>
            <w:r>
              <w:rPr>
                <w:rtl/>
              </w:rPr>
              <w:t>(2)</w:t>
            </w:r>
            <w:r>
              <w:rPr>
                <w:rtl/>
              </w:rPr>
              <w:tab/>
              <w:t>בסעיף קטן (ב1), במקום "עד תום שנה" יבוא "עד תום 90 ימים";</w:t>
            </w:r>
          </w:p>
        </w:tc>
      </w:tr>
      <w:tr w:rsidR="008965B2" w14:paraId="22FB1C30" w14:textId="77777777">
        <w:trPr>
          <w:cantSplit/>
          <w:trHeight w:val="60"/>
        </w:trPr>
        <w:tc>
          <w:tcPr>
            <w:tcW w:w="1871" w:type="dxa"/>
          </w:tcPr>
          <w:p w14:paraId="31C177EA" w14:textId="77777777" w:rsidR="008965B2" w:rsidRDefault="008965B2">
            <w:pPr>
              <w:pStyle w:val="TableSideHeading"/>
              <w:rPr>
                <w:rtl/>
              </w:rPr>
            </w:pPr>
          </w:p>
        </w:tc>
        <w:tc>
          <w:tcPr>
            <w:tcW w:w="624" w:type="dxa"/>
          </w:tcPr>
          <w:p w14:paraId="66221E5A" w14:textId="77777777" w:rsidR="008965B2" w:rsidRDefault="008965B2" w:rsidP="008965B2">
            <w:pPr>
              <w:pStyle w:val="TableText"/>
            </w:pPr>
          </w:p>
        </w:tc>
        <w:tc>
          <w:tcPr>
            <w:tcW w:w="7146" w:type="dxa"/>
            <w:gridSpan w:val="2"/>
          </w:tcPr>
          <w:p w14:paraId="45F35470" w14:textId="3365BA43" w:rsidR="008965B2" w:rsidRDefault="008965B2" w:rsidP="008965B2">
            <w:pPr>
              <w:pStyle w:val="TableBlock"/>
              <w:rPr>
                <w:rtl/>
              </w:rPr>
            </w:pPr>
            <w:r>
              <w:rPr>
                <w:rtl/>
              </w:rPr>
              <w:t>(3)</w:t>
            </w:r>
            <w:r>
              <w:rPr>
                <w:rtl/>
              </w:rPr>
              <w:tab/>
              <w:t xml:space="preserve">בסעיף קטן (ב2), </w:t>
            </w:r>
            <w:r>
              <w:rPr>
                <w:rFonts w:hint="cs"/>
                <w:rtl/>
              </w:rPr>
              <w:t xml:space="preserve">במקום הסיפה החל </w:t>
            </w:r>
            <w:r>
              <w:rPr>
                <w:rtl/>
              </w:rPr>
              <w:t xml:space="preserve">במילים "ימנה השר" </w:t>
            </w:r>
            <w:r>
              <w:rPr>
                <w:rFonts w:hint="cs"/>
                <w:rtl/>
              </w:rPr>
              <w:t>י</w:t>
            </w:r>
            <w:r>
              <w:rPr>
                <w:rtl/>
              </w:rPr>
              <w:t>בוא "המועמדים שמונו למועצה על ידי כל אחת משלוש הרשויות הנזכרות בסעיף 3, כולן או חלקן, יתחילו לכהן כחברי מועצה בפועל, לרבות הסמכויות והאחריות המוקנות לחברי מועצה, ובלבד שמספר המועמדים שמונו יעלה על שלושה";</w:t>
            </w:r>
          </w:p>
        </w:tc>
      </w:tr>
      <w:tr w:rsidR="008965B2" w14:paraId="293112FD" w14:textId="77777777">
        <w:trPr>
          <w:cantSplit/>
          <w:trHeight w:val="60"/>
        </w:trPr>
        <w:tc>
          <w:tcPr>
            <w:tcW w:w="1871" w:type="dxa"/>
          </w:tcPr>
          <w:p w14:paraId="649AE61D" w14:textId="77777777" w:rsidR="008965B2" w:rsidRDefault="008965B2">
            <w:pPr>
              <w:pStyle w:val="TableSideHeading"/>
              <w:rPr>
                <w:rtl/>
              </w:rPr>
            </w:pPr>
          </w:p>
        </w:tc>
        <w:tc>
          <w:tcPr>
            <w:tcW w:w="624" w:type="dxa"/>
          </w:tcPr>
          <w:p w14:paraId="257AC818" w14:textId="77777777" w:rsidR="008965B2" w:rsidRDefault="008965B2" w:rsidP="008965B2">
            <w:pPr>
              <w:pStyle w:val="TableText"/>
            </w:pPr>
          </w:p>
        </w:tc>
        <w:tc>
          <w:tcPr>
            <w:tcW w:w="7146" w:type="dxa"/>
            <w:gridSpan w:val="2"/>
          </w:tcPr>
          <w:p w14:paraId="725B0739" w14:textId="543B4BA6" w:rsidR="008965B2" w:rsidRDefault="008965B2" w:rsidP="008965B2">
            <w:pPr>
              <w:pStyle w:val="TableBlock"/>
              <w:rPr>
                <w:rtl/>
              </w:rPr>
            </w:pPr>
            <w:r>
              <w:rPr>
                <w:rtl/>
              </w:rPr>
              <w:t>(</w:t>
            </w:r>
            <w:r>
              <w:rPr>
                <w:rFonts w:hint="cs"/>
                <w:rtl/>
              </w:rPr>
              <w:t>4</w:t>
            </w:r>
            <w:r>
              <w:rPr>
                <w:rtl/>
              </w:rPr>
              <w:t>)</w:t>
            </w:r>
            <w:r>
              <w:rPr>
                <w:rtl/>
              </w:rPr>
              <w:tab/>
              <w:t>סעיפים קטנים (ב3) עד (ב7) – בטלים.</w:t>
            </w:r>
          </w:p>
        </w:tc>
      </w:tr>
    </w:tbl>
    <w:p w14:paraId="7F6961CA" w14:textId="77777777" w:rsidR="002D1EE3" w:rsidRDefault="002D1EE3" w:rsidP="002D1EE3">
      <w:pPr>
        <w:pStyle w:val="HeadDivreiHesber"/>
        <w:rPr>
          <w:rtl/>
        </w:rPr>
      </w:pPr>
      <w:r w:rsidRPr="0027450A">
        <w:rPr>
          <w:rFonts w:hint="cs"/>
          <w:rtl/>
        </w:rPr>
        <w:t>דברי הסבר</w:t>
      </w:r>
    </w:p>
    <w:p w14:paraId="0FBE2744" w14:textId="77777777" w:rsidR="0079503A" w:rsidRPr="0079503A" w:rsidRDefault="0079503A" w:rsidP="0079503A">
      <w:pPr>
        <w:pStyle w:val="Hesber"/>
      </w:pPr>
      <w:r w:rsidRPr="0079503A">
        <w:rPr>
          <w:rtl/>
        </w:rPr>
        <w:t xml:space="preserve">בשנת 1992 מינה ראש הממשלה דאז יצחק רבין ז"ל ועדה ציבורית לבחינת תפקוד המועצות הדתיות – ועדת צדוק. הצעת החוק היא ברוח המלצות הוועדה: חיזוק הנציגות המקומית בהרכבה של המועצה וביטול הצורך בהסכמה הדדית בין הרשויות המרכיבות את המועצה. </w:t>
      </w:r>
    </w:p>
    <w:p w14:paraId="0CF52463" w14:textId="7159D072" w:rsidR="0079503A" w:rsidRPr="0079503A" w:rsidRDefault="0079503A" w:rsidP="00F13E6B">
      <w:pPr>
        <w:pStyle w:val="Hesber"/>
        <w:rPr>
          <w:rtl/>
        </w:rPr>
      </w:pPr>
      <w:r w:rsidRPr="0079503A">
        <w:rPr>
          <w:rtl/>
        </w:rPr>
        <w:t>סעיף 3(א) לחוק שירותי הדת היהודיים [נוסח משולב], התשל"א–1971 (להלן – החוק), קובע את הרכב המועצה הדתית בחלוקה כדלהלן: 45% מהחברים נקבעים על ידי  השר לשירותי דת, 45% על ידי המועצה המקומית, ו-10% נוספים על ידי הרבנות המקומית. סעיפים 4, 5 ו-6 לחוק קובעים שיש צורך בהסכמת שלושת הגופים</w:t>
      </w:r>
      <w:r w:rsidR="00F13E6B">
        <w:rPr>
          <w:rFonts w:hint="cs"/>
          <w:rtl/>
        </w:rPr>
        <w:t xml:space="preserve"> האמורים</w:t>
      </w:r>
      <w:r w:rsidRPr="0079503A">
        <w:rPr>
          <w:rtl/>
        </w:rPr>
        <w:t xml:space="preserve"> על מנת לאשרר את מינוי כל חברי המועצה המוצעים. פעמים רבות קורה שגופים אלה אינם מגיעים להסכמה וכך במועד מסוים, כאשר הרכב המועצה הדתית עדיין אינו נקבע, השר לשירותי דת ממנה אנשים מטעמו שאינם בהכרח מייצגים את התושבים המקומיים.</w:t>
      </w:r>
    </w:p>
    <w:p w14:paraId="3381A4C9" w14:textId="5349C1EC" w:rsidR="0079503A" w:rsidRPr="0079503A" w:rsidRDefault="00F13E6B" w:rsidP="00F13E6B">
      <w:pPr>
        <w:pStyle w:val="Hesber"/>
        <w:rPr>
          <w:rtl/>
        </w:rPr>
      </w:pPr>
      <w:r>
        <w:rPr>
          <w:rFonts w:hint="cs"/>
          <w:rtl/>
        </w:rPr>
        <w:t>לפיכך, מוצע לקבוע</w:t>
      </w:r>
      <w:r w:rsidR="0079503A" w:rsidRPr="0079503A">
        <w:rPr>
          <w:rtl/>
        </w:rPr>
        <w:t xml:space="preserve"> כי לא יהיה צורך בהסכמת שלושת הגופים למינוי כל המועצה, אלא כל גוף ימנה את נציגיו ללא צורך בהסכמה כללית. כך יימנע מצב שעליו הצביע מבקר המדינה בדוחותיו בשנים 2000 ו-2006, </w:t>
      </w:r>
      <w:r w:rsidR="0079503A" w:rsidRPr="009346B1">
        <w:rPr>
          <w:rtl/>
        </w:rPr>
        <w:t>וכלשונו: "</w:t>
      </w:r>
      <w:r w:rsidR="0079503A" w:rsidRPr="0079503A">
        <w:rPr>
          <w:rtl/>
        </w:rPr>
        <w:t>מתגלעים על-פי רוב חילוקי דעות בין שלוש הרשויות שצוינו לעיל בעניין המועמדים לשמש חברי מועצה וחידוש הרכבי המועצות הדתיות מתעכב"</w:t>
      </w:r>
      <w:r>
        <w:rPr>
          <w:rFonts w:hint="cs"/>
          <w:rtl/>
        </w:rPr>
        <w:t xml:space="preserve"> </w:t>
      </w:r>
      <w:r w:rsidRPr="009346B1">
        <w:rPr>
          <w:rtl/>
        </w:rPr>
        <w:t>(</w:t>
      </w:r>
      <w:r w:rsidRPr="009346B1">
        <w:rPr>
          <w:b/>
          <w:bCs/>
          <w:rtl/>
        </w:rPr>
        <w:t>דוח שנתי 51ב לשנת 2000 ולחשבונות שנת הכספים 1999</w:t>
      </w:r>
      <w:r w:rsidRPr="009346B1">
        <w:rPr>
          <w:rtl/>
        </w:rPr>
        <w:t>)</w:t>
      </w:r>
      <w:r w:rsidR="0079503A" w:rsidRPr="0079503A">
        <w:rPr>
          <w:rtl/>
        </w:rPr>
        <w:t xml:space="preserve">. </w:t>
      </w:r>
      <w:r w:rsidRPr="0079503A">
        <w:rPr>
          <w:rtl/>
        </w:rPr>
        <w:t xml:space="preserve">לפי </w:t>
      </w:r>
      <w:r w:rsidRPr="0079503A">
        <w:rPr>
          <w:rFonts w:hint="cs"/>
          <w:rtl/>
        </w:rPr>
        <w:t>נתוני המשרד לשירותי דת</w:t>
      </w:r>
      <w:r>
        <w:rPr>
          <w:rFonts w:hint="cs"/>
          <w:rtl/>
        </w:rPr>
        <w:t>, בנובמבר 2016, שלוש</w:t>
      </w:r>
      <w:r w:rsidR="0079503A" w:rsidRPr="0079503A">
        <w:rPr>
          <w:rFonts w:hint="cs"/>
          <w:rtl/>
        </w:rPr>
        <w:t xml:space="preserve"> שנים</w:t>
      </w:r>
      <w:r w:rsidR="0079503A" w:rsidRPr="0079503A">
        <w:rPr>
          <w:rtl/>
        </w:rPr>
        <w:t xml:space="preserve"> לאחר הבחירות לרשויות המקומיות האחרונות</w:t>
      </w:r>
      <w:r>
        <w:rPr>
          <w:rFonts w:hint="cs"/>
          <w:rtl/>
        </w:rPr>
        <w:t xml:space="preserve"> ושנתיים </w:t>
      </w:r>
      <w:r w:rsidRPr="0079503A">
        <w:rPr>
          <w:rtl/>
        </w:rPr>
        <w:t>לאחר המועד הקובע לכינוס המועצות הדתיות</w:t>
      </w:r>
      <w:r>
        <w:rPr>
          <w:rFonts w:hint="cs"/>
          <w:rtl/>
        </w:rPr>
        <w:t xml:space="preserve">, </w:t>
      </w:r>
      <w:r w:rsidR="0079503A" w:rsidRPr="0079503A">
        <w:rPr>
          <w:rtl/>
        </w:rPr>
        <w:t xml:space="preserve">הורכבו באופן תקין רק </w:t>
      </w:r>
      <w:r w:rsidR="0079503A" w:rsidRPr="0079503A">
        <w:rPr>
          <w:rFonts w:hint="cs"/>
          <w:rtl/>
        </w:rPr>
        <w:t>56</w:t>
      </w:r>
      <w:r w:rsidR="0079503A" w:rsidRPr="0079503A">
        <w:rPr>
          <w:rtl/>
        </w:rPr>
        <w:t xml:space="preserve"> מועצות מתוך 13</w:t>
      </w:r>
      <w:r w:rsidR="0079503A" w:rsidRPr="0079503A">
        <w:rPr>
          <w:rFonts w:hint="cs"/>
          <w:rtl/>
        </w:rPr>
        <w:t>1</w:t>
      </w:r>
      <w:r w:rsidR="0079503A" w:rsidRPr="0079503A">
        <w:rPr>
          <w:rtl/>
        </w:rPr>
        <w:t>, כ-</w:t>
      </w:r>
      <w:r w:rsidR="0079503A" w:rsidRPr="0079503A">
        <w:rPr>
          <w:rFonts w:hint="cs"/>
          <w:rtl/>
        </w:rPr>
        <w:t>42.7</w:t>
      </w:r>
      <w:r>
        <w:rPr>
          <w:rtl/>
        </w:rPr>
        <w:t>% בלבד</w:t>
      </w:r>
      <w:r>
        <w:rPr>
          <w:rFonts w:hint="cs"/>
          <w:rtl/>
        </w:rPr>
        <w:t>.</w:t>
      </w:r>
    </w:p>
    <w:p w14:paraId="0F9B7D0D" w14:textId="53EC352F" w:rsidR="0079503A" w:rsidRPr="0079503A" w:rsidRDefault="0079503A" w:rsidP="00F13E6B">
      <w:pPr>
        <w:pStyle w:val="Hesber"/>
        <w:rPr>
          <w:rtl/>
        </w:rPr>
      </w:pPr>
      <w:r w:rsidRPr="0079503A">
        <w:rPr>
          <w:rtl/>
        </w:rPr>
        <w:t xml:space="preserve">מטרת הצעת החוק היא לאפשר מעורבות מוגברת בנושאי דת וייצוג הולם של ציבור מקומי במועצה הדתית של אותו היישוב. הצעת החוק </w:t>
      </w:r>
      <w:r w:rsidR="00F13E6B">
        <w:rPr>
          <w:rFonts w:hint="cs"/>
          <w:rtl/>
        </w:rPr>
        <w:t>נועדה לייצר</w:t>
      </w:r>
      <w:r w:rsidRPr="0079503A">
        <w:rPr>
          <w:rtl/>
        </w:rPr>
        <w:t xml:space="preserve"> מנגנון לכינוס המועצה הדתית תוך שלושה חודשים מיום הבחירות לרשויות המקומיות על מנת שלציבור יהיה כלי לפיקוח על מתן שירותי הדת.</w:t>
      </w:r>
    </w:p>
    <w:p w14:paraId="5B1920E1" w14:textId="1A45ECDB" w:rsidR="0079503A" w:rsidRPr="0079503A" w:rsidRDefault="00F13E6B" w:rsidP="0079503A">
      <w:pPr>
        <w:pStyle w:val="Hesber"/>
        <w:rPr>
          <w:rtl/>
        </w:rPr>
      </w:pPr>
      <w:r>
        <w:rPr>
          <w:rFonts w:hint="cs"/>
          <w:rtl/>
        </w:rPr>
        <w:t xml:space="preserve">כמו כן, </w:t>
      </w:r>
      <w:r w:rsidR="0079503A" w:rsidRPr="0079503A">
        <w:rPr>
          <w:rtl/>
        </w:rPr>
        <w:t xml:space="preserve">מוצע שמועצה דתית תכהן עד יום חידוש הרכבה או עד 90 ימים מיום בחירת המועצה של הרשות המקומית, לעומת המצב בחוק כיום, שבו מועצה דתית יכולה לכהן עד יום חידוש הרכבה או עד תום שנה מיום בחירת מועצת הרשות המקומית. </w:t>
      </w:r>
    </w:p>
    <w:p w14:paraId="6E0F4AAD" w14:textId="352F9CBA" w:rsidR="0079503A" w:rsidRPr="0079503A" w:rsidRDefault="0079503A" w:rsidP="00F13E6B">
      <w:pPr>
        <w:pStyle w:val="Hesber"/>
        <w:rPr>
          <w:rtl/>
        </w:rPr>
      </w:pPr>
      <w:r w:rsidRPr="0079503A">
        <w:rPr>
          <w:rtl/>
        </w:rPr>
        <w:t xml:space="preserve">נוסף על כך מוצע להסדיר את משך כהונתו של ראש המועצה. לפי תקנות שירותי הדת היהודיים (ניהול מועצות), </w:t>
      </w:r>
      <w:r w:rsidR="00F13E6B">
        <w:rPr>
          <w:rFonts w:hint="cs"/>
          <w:rtl/>
        </w:rPr>
        <w:t>ה</w:t>
      </w:r>
      <w:r w:rsidRPr="0079503A">
        <w:rPr>
          <w:rtl/>
        </w:rPr>
        <w:t>תש"ל</w:t>
      </w:r>
      <w:r w:rsidR="00F13E6B">
        <w:rPr>
          <w:rFonts w:hint="cs"/>
          <w:rtl/>
        </w:rPr>
        <w:t>–</w:t>
      </w:r>
      <w:r w:rsidRPr="0079503A">
        <w:rPr>
          <w:rtl/>
        </w:rPr>
        <w:t>1970, הפסקת כה</w:t>
      </w:r>
      <w:r w:rsidR="00F13E6B">
        <w:rPr>
          <w:rtl/>
        </w:rPr>
        <w:t xml:space="preserve">ונתו של ראש מועצה דתית תחול רק </w:t>
      </w:r>
      <w:r w:rsidRPr="0079503A">
        <w:rPr>
          <w:rtl/>
        </w:rPr>
        <w:t xml:space="preserve">אם הוא התפטר מהמועצה או </w:t>
      </w:r>
      <w:r w:rsidRPr="0079503A">
        <w:rPr>
          <w:rtl/>
        </w:rPr>
        <w:lastRenderedPageBreak/>
        <w:t>מתפקידו, או שנבחר ראש מועצה חדש. על כן, מוצע לקצוב את כהונתו של ראש המועצה לחמש שנים או לחילופין עד למועד חידוש המועצה הדתית, המוקדם מביניהם.</w:t>
      </w:r>
    </w:p>
    <w:p w14:paraId="5BB0C11D" w14:textId="77777777" w:rsidR="0079503A" w:rsidRDefault="0079503A" w:rsidP="0079503A">
      <w:pPr>
        <w:pStyle w:val="Hesber"/>
        <w:rPr>
          <w:rtl/>
        </w:rPr>
      </w:pPr>
      <w:r w:rsidRPr="0079503A">
        <w:rPr>
          <w:rtl/>
        </w:rPr>
        <w:t>הצעת החוק נכתבה בסיוע תנועת נאמני תורה ועבודה ובשיתוף קבוצת אדוות.</w:t>
      </w:r>
    </w:p>
    <w:p w14:paraId="3F08E60E" w14:textId="4DBB7E3D" w:rsidR="0092113B" w:rsidRPr="0079503A" w:rsidRDefault="005D2B95" w:rsidP="00CF4EB7">
      <w:pPr>
        <w:pStyle w:val="Hesber"/>
        <w:ind w:firstLine="0"/>
        <w:rPr>
          <w:rtl/>
        </w:rPr>
      </w:pPr>
      <w:r>
        <w:rPr>
          <w:rFonts w:hint="cs"/>
          <w:rtl/>
        </w:rPr>
        <w:t xml:space="preserve">הצעות חוק </w:t>
      </w:r>
      <w:r w:rsidR="00CF4EB7">
        <w:rPr>
          <w:rFonts w:hint="cs"/>
          <w:rtl/>
        </w:rPr>
        <w:t>דומות בעיקרן</w:t>
      </w:r>
      <w:r>
        <w:rPr>
          <w:rFonts w:hint="cs"/>
          <w:rtl/>
        </w:rPr>
        <w:t xml:space="preserve"> הונחו על שולחן הכנסת התשע-עשרה על ידי חבר הכנסת אלעזר שטרן (פ/2456/19), ועל שולחן הכנסת העשרים על ידי חברת הכנסת עליזה לביא וקבוצת חברי הכנסת (פ/</w:t>
      </w:r>
      <w:r w:rsidR="001B29A6">
        <w:rPr>
          <w:rFonts w:hint="cs"/>
          <w:rtl/>
        </w:rPr>
        <w:t>3221/20).</w:t>
      </w:r>
    </w:p>
    <w:p w14:paraId="7F6961CB" w14:textId="77777777" w:rsidR="00E13C27" w:rsidRDefault="00E13C27" w:rsidP="00E13C27">
      <w:pPr>
        <w:pStyle w:val="Hesber"/>
        <w:rPr>
          <w:rtl/>
        </w:rPr>
      </w:pPr>
    </w:p>
    <w:p w14:paraId="5883EFFE" w14:textId="04584AA0" w:rsidR="00CA656F" w:rsidRDefault="00CA656F" w:rsidP="00E13C27">
      <w:pPr>
        <w:pStyle w:val="Hesber"/>
        <w:rPr>
          <w:rtl/>
        </w:rPr>
      </w:pPr>
    </w:p>
    <w:p w14:paraId="035B2BD8" w14:textId="77777777" w:rsidR="00CA656F" w:rsidRPr="00D73212" w:rsidRDefault="00CA656F" w:rsidP="00CA656F">
      <w:pPr>
        <w:pStyle w:val="Hesber"/>
        <w:rPr>
          <w:color w:val="auto"/>
          <w:rtl/>
          <w:lang w:eastAsia="en-US"/>
        </w:rPr>
      </w:pPr>
      <w:r w:rsidRPr="00D73212">
        <w:rPr>
          <w:color w:val="auto"/>
          <w:rtl/>
          <w:lang w:eastAsia="en-US"/>
        </w:rPr>
        <w:t>---------------------------------</w:t>
      </w:r>
    </w:p>
    <w:p w14:paraId="5BADB271" w14:textId="77777777" w:rsidR="00CA656F" w:rsidRPr="00D73212" w:rsidRDefault="00CA656F" w:rsidP="00CA656F">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31A38300" w14:textId="77777777" w:rsidR="00CA656F" w:rsidRPr="00D73212" w:rsidRDefault="00CA656F" w:rsidP="00CA656F">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68E56AB1" w14:textId="77777777" w:rsidR="00CA656F" w:rsidRPr="00317312" w:rsidRDefault="00CA656F" w:rsidP="00CA656F">
      <w:pPr>
        <w:pStyle w:val="Hesber"/>
      </w:pPr>
      <w:r>
        <w:rPr>
          <w:rFonts w:hint="cs"/>
          <w:color w:val="auto"/>
          <w:rtl/>
          <w:lang w:eastAsia="en-US"/>
        </w:rPr>
        <w:t>י"א בסיוון</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ז</w:t>
      </w:r>
      <w:r w:rsidRPr="00D73212">
        <w:rPr>
          <w:color w:val="auto"/>
          <w:rtl/>
          <w:lang w:eastAsia="en-US"/>
        </w:rPr>
        <w:t xml:space="preserve"> – </w:t>
      </w:r>
      <w:r>
        <w:rPr>
          <w:rFonts w:hint="cs"/>
          <w:color w:val="auto"/>
          <w:rtl/>
          <w:lang w:eastAsia="en-US"/>
        </w:rPr>
        <w:t>5.6</w:t>
      </w:r>
      <w:r w:rsidRPr="00D73212">
        <w:rPr>
          <w:color w:val="auto"/>
          <w:rtl/>
          <w:lang w:eastAsia="en-US"/>
        </w:rPr>
        <w:t>.</w:t>
      </w:r>
      <w:r>
        <w:rPr>
          <w:rFonts w:hint="cs"/>
          <w:color w:val="auto"/>
          <w:rtl/>
          <w:lang w:eastAsia="en-US"/>
        </w:rPr>
        <w:t>17</w:t>
      </w:r>
    </w:p>
    <w:p w14:paraId="6846EF54" w14:textId="77777777" w:rsidR="00CA656F" w:rsidRDefault="00CA656F" w:rsidP="00E13C27">
      <w:pPr>
        <w:pStyle w:val="Hesber"/>
        <w:rPr>
          <w:rtl/>
        </w:rPr>
      </w:pPr>
      <w:bookmarkStart w:id="8" w:name="_GoBack"/>
      <w:bookmarkEnd w:id="8"/>
    </w:p>
    <w:sectPr w:rsidR="00CA656F"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14:paraId="7F6961D6" w14:textId="77777777" w:rsidR="002C3041" w:rsidRDefault="002C304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7E7C5F">
      <w:rPr>
        <w:rStyle w:val="ac"/>
        <w:noProof/>
        <w:rtl/>
      </w:rPr>
      <w:t>3</w:t>
    </w:r>
    <w:r>
      <w:rPr>
        <w:rStyle w:val="ac"/>
        <w:rtl/>
      </w:rPr>
      <w:fldChar w:fldCharType="end"/>
    </w:r>
  </w:p>
  <w:p w14:paraId="7F6961D8" w14:textId="77777777" w:rsidR="002C3041" w:rsidRDefault="002C304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22D727C8" w14:textId="77777777" w:rsidR="00F248C3" w:rsidRDefault="00F248C3">
      <w:pPr>
        <w:pStyle w:val="a5"/>
      </w:pPr>
      <w:r>
        <w:rPr>
          <w:rStyle w:val="a7"/>
        </w:rPr>
        <w:footnoteRef/>
      </w:r>
      <w:r>
        <w:rPr>
          <w:rtl/>
        </w:rPr>
        <w:t xml:space="preserve"> ס"ח התשל"ה, עמ' 130.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B29A6"/>
    <w:rsid w:val="001C23B0"/>
    <w:rsid w:val="001D7AAF"/>
    <w:rsid w:val="00203A7F"/>
    <w:rsid w:val="0021633A"/>
    <w:rsid w:val="002200A1"/>
    <w:rsid w:val="00226692"/>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2B95"/>
    <w:rsid w:val="005D51AE"/>
    <w:rsid w:val="0062674B"/>
    <w:rsid w:val="006363B2"/>
    <w:rsid w:val="00644940"/>
    <w:rsid w:val="006818A9"/>
    <w:rsid w:val="006A2D81"/>
    <w:rsid w:val="006C1D0D"/>
    <w:rsid w:val="0070601E"/>
    <w:rsid w:val="00712C72"/>
    <w:rsid w:val="00735FE9"/>
    <w:rsid w:val="00763CAA"/>
    <w:rsid w:val="00765F66"/>
    <w:rsid w:val="0078664F"/>
    <w:rsid w:val="0079503A"/>
    <w:rsid w:val="007C3FA6"/>
    <w:rsid w:val="007D585A"/>
    <w:rsid w:val="007D5A12"/>
    <w:rsid w:val="007D6A78"/>
    <w:rsid w:val="007E59F9"/>
    <w:rsid w:val="007E7C5F"/>
    <w:rsid w:val="00810BCD"/>
    <w:rsid w:val="00812C98"/>
    <w:rsid w:val="00814D92"/>
    <w:rsid w:val="0083181D"/>
    <w:rsid w:val="00843EB2"/>
    <w:rsid w:val="00865572"/>
    <w:rsid w:val="00874BBC"/>
    <w:rsid w:val="00892135"/>
    <w:rsid w:val="00895449"/>
    <w:rsid w:val="008965B2"/>
    <w:rsid w:val="00897879"/>
    <w:rsid w:val="008A6870"/>
    <w:rsid w:val="008C2DDC"/>
    <w:rsid w:val="008C7516"/>
    <w:rsid w:val="008E6EC7"/>
    <w:rsid w:val="008F0D63"/>
    <w:rsid w:val="008F1308"/>
    <w:rsid w:val="008F2C35"/>
    <w:rsid w:val="008F6665"/>
    <w:rsid w:val="00904591"/>
    <w:rsid w:val="00905E5F"/>
    <w:rsid w:val="0091204F"/>
    <w:rsid w:val="009203DB"/>
    <w:rsid w:val="0092113B"/>
    <w:rsid w:val="00923CD4"/>
    <w:rsid w:val="00930EFE"/>
    <w:rsid w:val="009346B1"/>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A656F"/>
    <w:rsid w:val="00CF1AA2"/>
    <w:rsid w:val="00CF4EB7"/>
    <w:rsid w:val="00D17774"/>
    <w:rsid w:val="00D63620"/>
    <w:rsid w:val="00D8410D"/>
    <w:rsid w:val="00D867D7"/>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F3A3A"/>
    <w:rsid w:val="00F13E6B"/>
    <w:rsid w:val="00F248C3"/>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link w:val="a4"/>
    <w:uiPriority w:val="99"/>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uiPriority w:val="99"/>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7">
    <w:name w:val="footnote reference"/>
    <w:basedOn w:val="a0"/>
    <w:uiPriority w:val="99"/>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8">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9">
    <w:name w:val="header"/>
    <w:basedOn w:val="a"/>
    <w:rsid w:val="00B975AD"/>
    <w:pPr>
      <w:tabs>
        <w:tab w:val="center" w:pos="4153"/>
        <w:tab w:val="right" w:pos="8306"/>
      </w:tabs>
    </w:pPr>
  </w:style>
  <w:style w:type="paragraph" w:styleId="aa">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b">
    <w:name w:val="Title"/>
    <w:basedOn w:val="a"/>
    <w:qFormat/>
    <w:rsid w:val="00943386"/>
    <w:pPr>
      <w:jc w:val="center"/>
    </w:pPr>
    <w:rPr>
      <w:rFonts w:cs="David"/>
      <w:b/>
      <w:bCs/>
      <w:sz w:val="28"/>
      <w:szCs w:val="28"/>
      <w:u w:val="single"/>
    </w:rPr>
  </w:style>
  <w:style w:type="character" w:styleId="ac">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d">
    <w:name w:val="Balloon Text"/>
    <w:basedOn w:val="a"/>
    <w:link w:val="ae"/>
    <w:semiHidden/>
    <w:unhideWhenUsed/>
    <w:rsid w:val="00325C14"/>
    <w:pPr>
      <w:spacing w:before="0" w:line="240" w:lineRule="auto"/>
    </w:pPr>
    <w:rPr>
      <w:rFonts w:ascii="Tahoma" w:hAnsi="Tahoma" w:cs="Tahoma"/>
      <w:sz w:val="16"/>
      <w:szCs w:val="16"/>
    </w:rPr>
  </w:style>
  <w:style w:type="character" w:customStyle="1" w:styleId="ae">
    <w:name w:val="טקסט בלונים תו"/>
    <w:basedOn w:val="a0"/>
    <w:link w:val="ad"/>
    <w:semiHidden/>
    <w:rsid w:val="00325C14"/>
    <w:rPr>
      <w:rFonts w:ascii="Tahoma" w:hAnsi="Tahoma" w:cs="Tahoma"/>
      <w:color w:val="000000"/>
      <w:spacing w:val="1"/>
      <w:sz w:val="16"/>
      <w:szCs w:val="16"/>
      <w:lang w:eastAsia="ja-JP"/>
    </w:rPr>
  </w:style>
  <w:style w:type="character" w:customStyle="1" w:styleId="a6">
    <w:name w:val="טקסט הערת שוליים תו"/>
    <w:basedOn w:val="a0"/>
    <w:link w:val="a5"/>
    <w:uiPriority w:val="99"/>
    <w:semiHidden/>
    <w:rsid w:val="00F248C3"/>
    <w:rPr>
      <w:rFonts w:ascii="Arial" w:eastAsia="Arial Unicode MS" w:hAnsi="Arial" w:cs="David"/>
      <w:snapToGrid w:val="0"/>
      <w:color w:val="000000"/>
      <w:sz w:val="14"/>
      <w:lang w:eastAsia="ja-JP"/>
    </w:rPr>
  </w:style>
  <w:style w:type="character" w:customStyle="1" w:styleId="a4">
    <w:name w:val="טקסט הערת סיום תו"/>
    <w:basedOn w:val="a0"/>
    <w:link w:val="a3"/>
    <w:uiPriority w:val="99"/>
    <w:semiHidden/>
    <w:rsid w:val="00F248C3"/>
    <w:rPr>
      <w:rFonts w:ascii="Hadasa Roso SL" w:hAnsi="Hadasa Roso SL" w:cs="Hadasa Roso SL"/>
      <w:color w:val="000000"/>
      <w:spacing w:val="1"/>
      <w:sz w:val="14"/>
      <w:szCs w:val="22"/>
      <w:lang w:eastAsia="ja-JP"/>
    </w:rPr>
  </w:style>
  <w:style w:type="character" w:styleId="Hyperlink">
    <w:name w:val="Hyperlink"/>
    <w:basedOn w:val="a0"/>
    <w:unhideWhenUsed/>
    <w:rsid w:val="00795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F5CBD-D3EF-4C27-B86D-04720F112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60E3496-311F-41C3-A62A-6436EBF3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696</Words>
  <Characters>3122</Characters>
  <Application>Microsoft Office Word</Application>
  <DocSecurity>0</DocSecurity>
  <Lines>164</Lines>
  <Paragraphs>123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13</cp:revision>
  <cp:lastPrinted>2017-06-04T08:14:00Z</cp:lastPrinted>
  <dcterms:created xsi:type="dcterms:W3CDTF">2015-04-20T09:58:00Z</dcterms:created>
  <dcterms:modified xsi:type="dcterms:W3CDTF">2017-06-04T08:26:00Z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2013362</vt:r8>
  </property>
</Properties>
</file>