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00131B" w:rsidRDefault="004033D8" w:rsidP="00A443CF">
      <w:pPr>
        <w:pStyle w:val="HeadHatzaotHok"/>
        <w:jc w:val="right"/>
        <w:rPr>
          <w:b w:val="0"/>
          <w:bCs w:val="0"/>
          <w:szCs w:val="20"/>
        </w:rPr>
      </w:pPr>
      <w:r w:rsidRPr="0000131B">
        <w:rPr>
          <w:rFonts w:hint="cs"/>
          <w:b w:val="0"/>
          <w:bCs w:val="0"/>
          <w:szCs w:val="20"/>
          <w:rtl/>
        </w:rPr>
        <w:t xml:space="preserve">מספר פנימי: </w:t>
      </w:r>
      <w:bookmarkStart w:id="0" w:name="LGS_Internal_ID"/>
      <w:r>
        <w:rPr>
          <w:rFonts w:hint="cs"/>
          <w:b w:val="0"/>
          <w:bCs w:val="0"/>
          <w:szCs w:val="20"/>
          <w:rtl/>
        </w:rPr>
        <w:t>2065886</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14:paraId="7F6961A3" w14:textId="77777777" w:rsidR="00E13C27" w:rsidRPr="00F67051" w:rsidRDefault="00E13C27" w:rsidP="00E13C27">
      <w:pPr>
        <w:rPr>
          <w:b/>
          <w:bCs/>
          <w:sz w:val="26"/>
          <w:szCs w:val="26"/>
          <w:rtl/>
        </w:rPr>
      </w:pPr>
    </w:p>
    <w:p w14:paraId="7F6961A6" w14:textId="77777777" w:rsidR="00E13C27" w:rsidRDefault="008F6665" w:rsidP="00930EFE">
      <w:pPr>
        <w:pStyle w:val="David"/>
        <w:ind w:left="3544"/>
        <w:rPr>
          <w:b/>
          <w:bCs/>
          <w:rtl/>
        </w:rPr>
      </w:pPr>
      <w:bookmarkStart w:id="2" w:name="LGS_Initiators_List"/>
      <w:r>
        <w:rPr>
          <w:b/>
          <w:bCs/>
          <w:rtl/>
        </w:rPr>
        <w:t>יוזמים:      חברי הכנסת</w:t>
      </w:r>
      <w:bookmarkEnd w:id="2"/>
      <w:r w:rsidR="00B35784" w:rsidRPr="00F67051">
        <w:rPr>
          <w:b/>
          <w:bCs/>
        </w:rPr>
        <w:tab/>
      </w:r>
      <w:bookmarkStart w:id="3" w:name="LGS_PM_Names"/>
      <w:r>
        <w:rPr>
          <w:rFonts w:hint="cs"/>
          <w:b/>
          <w:bCs/>
          <w:rtl/>
        </w:rPr>
        <w:t>עליזה לביא</w:t>
      </w:r>
      <w:r>
        <w:br/>
      </w:r>
      <w:r>
        <w:rPr>
          <w:rFonts w:hint="cs"/>
          <w:b/>
          <w:bCs/>
          <w:rtl/>
        </w:rPr>
        <w:t xml:space="preserve"> </w:t>
      </w:r>
      <w:r>
        <w:tab/>
      </w:r>
      <w:r>
        <w:tab/>
      </w:r>
      <w:r>
        <w:tab/>
      </w:r>
      <w:r>
        <w:tab/>
      </w:r>
      <w:r>
        <w:rPr>
          <w:rFonts w:hint="cs"/>
          <w:b/>
          <w:bCs/>
          <w:rtl/>
        </w:rPr>
        <w:t>דב חנין</w:t>
      </w:r>
      <w:r>
        <w:br/>
      </w:r>
      <w:r>
        <w:rPr>
          <w:rFonts w:hint="cs"/>
          <w:b/>
          <w:bCs/>
          <w:rtl/>
        </w:rPr>
        <w:t xml:space="preserve"> </w:t>
      </w:r>
      <w:r>
        <w:tab/>
      </w:r>
      <w:r>
        <w:tab/>
      </w:r>
      <w:r>
        <w:tab/>
      </w:r>
      <w:r>
        <w:tab/>
      </w:r>
      <w:r>
        <w:rPr>
          <w:rFonts w:hint="cs"/>
          <w:b/>
          <w:bCs/>
          <w:rtl/>
        </w:rPr>
        <w:t>נחמן שי</w:t>
      </w:r>
      <w:r>
        <w:br/>
      </w:r>
      <w:r>
        <w:rPr>
          <w:rFonts w:hint="cs"/>
          <w:b/>
          <w:bCs/>
          <w:rtl/>
        </w:rPr>
        <w:t xml:space="preserve"> </w:t>
      </w:r>
      <w:r>
        <w:tab/>
      </w:r>
      <w:r>
        <w:tab/>
      </w:r>
      <w:r>
        <w:tab/>
      </w:r>
      <w:r>
        <w:tab/>
      </w:r>
      <w:r>
        <w:rPr>
          <w:rFonts w:hint="cs"/>
          <w:b/>
          <w:bCs/>
          <w:rtl/>
        </w:rPr>
        <w:t>איתן ברושי</w:t>
      </w:r>
      <w:r>
        <w:br/>
      </w:r>
      <w:r>
        <w:rPr>
          <w:rFonts w:hint="cs"/>
          <w:b/>
          <w:bCs/>
          <w:rtl/>
        </w:rPr>
        <w:t xml:space="preserve"> </w:t>
      </w:r>
      <w:r>
        <w:tab/>
      </w:r>
      <w:r>
        <w:tab/>
      </w:r>
      <w:r>
        <w:tab/>
      </w:r>
      <w:r>
        <w:tab/>
      </w:r>
      <w:r>
        <w:rPr>
          <w:rFonts w:hint="cs"/>
          <w:b/>
          <w:bCs/>
          <w:rtl/>
        </w:rPr>
        <w:t>מרב מיכאלי</w:t>
      </w:r>
      <w:r>
        <w:br/>
      </w:r>
      <w:r>
        <w:rPr>
          <w:rFonts w:hint="cs"/>
          <w:b/>
          <w:bCs/>
          <w:rtl/>
        </w:rPr>
        <w:t xml:space="preserve"> </w:t>
      </w:r>
      <w:r>
        <w:tab/>
      </w:r>
      <w:r>
        <w:tab/>
      </w:r>
      <w:r>
        <w:tab/>
      </w:r>
      <w:r>
        <w:tab/>
      </w:r>
      <w:r>
        <w:rPr>
          <w:rFonts w:hint="cs"/>
          <w:b/>
          <w:bCs/>
          <w:rtl/>
        </w:rPr>
        <w:t>מירב בן ארי</w:t>
      </w:r>
      <w:r>
        <w:br/>
      </w:r>
      <w:r>
        <w:rPr>
          <w:rFonts w:hint="cs"/>
          <w:b/>
          <w:bCs/>
          <w:rtl/>
        </w:rPr>
        <w:t xml:space="preserve"> </w:t>
      </w:r>
      <w:r>
        <w:tab/>
      </w:r>
      <w:r>
        <w:tab/>
      </w:r>
      <w:r>
        <w:tab/>
      </w:r>
      <w:r>
        <w:tab/>
      </w:r>
      <w:r>
        <w:rPr>
          <w:rFonts w:hint="cs"/>
          <w:b/>
          <w:bCs/>
          <w:rtl/>
        </w:rPr>
        <w:t>יפעת שאשא ביטון</w:t>
      </w:r>
      <w:r>
        <w:br/>
      </w:r>
      <w:r>
        <w:rPr>
          <w:rFonts w:hint="cs"/>
          <w:b/>
          <w:bCs/>
          <w:rtl/>
        </w:rPr>
        <w:t xml:space="preserve"> </w:t>
      </w:r>
      <w:r>
        <w:tab/>
      </w:r>
      <w:r>
        <w:tab/>
      </w:r>
      <w:r>
        <w:tab/>
      </w:r>
      <w:r>
        <w:tab/>
      </w:r>
      <w:r>
        <w:rPr>
          <w:rFonts w:hint="cs"/>
          <w:b/>
          <w:bCs/>
          <w:rtl/>
        </w:rPr>
        <w:t>יואל רזבוזוב</w:t>
      </w:r>
      <w:r>
        <w:br/>
      </w:r>
      <w:r>
        <w:rPr>
          <w:rFonts w:hint="cs"/>
          <w:b/>
          <w:bCs/>
          <w:rtl/>
        </w:rPr>
        <w:t xml:space="preserve"> </w:t>
      </w:r>
      <w:r>
        <w:tab/>
      </w:r>
      <w:r>
        <w:tab/>
      </w:r>
      <w:r>
        <w:tab/>
      </w:r>
      <w:r>
        <w:tab/>
      </w:r>
      <w:r>
        <w:rPr>
          <w:rFonts w:hint="cs"/>
          <w:b/>
          <w:bCs/>
          <w:rtl/>
        </w:rPr>
        <w:t>יעל גרמן</w:t>
      </w:r>
      <w:r>
        <w:br/>
      </w:r>
      <w:r>
        <w:rPr>
          <w:rFonts w:hint="cs"/>
          <w:b/>
          <w:bCs/>
          <w:rtl/>
        </w:rPr>
        <w:t xml:space="preserve"> </w:t>
      </w:r>
      <w:r>
        <w:tab/>
      </w:r>
      <w:r>
        <w:tab/>
      </w:r>
      <w:r>
        <w:tab/>
      </w:r>
      <w:r>
        <w:tab/>
      </w:r>
      <w:r>
        <w:rPr>
          <w:rFonts w:hint="cs"/>
          <w:b/>
          <w:bCs/>
          <w:rtl/>
        </w:rPr>
        <w:t>יהודה גליק</w:t>
      </w:r>
      <w:bookmarkEnd w:id="3"/>
    </w:p>
    <w:p w14:paraId="7F6961AA" w14:textId="39F9D96B" w:rsidR="00E13C27" w:rsidRPr="00CF1AA2" w:rsidRDefault="007D585A" w:rsidP="0036422C">
      <w:pPr>
        <w:pStyle w:val="David"/>
        <w:ind w:left="3544"/>
        <w:rPr>
          <w:b/>
          <w:bCs/>
          <w:sz w:val="16"/>
          <w:szCs w:val="16"/>
          <w:rtl/>
        </w:rPr>
      </w:pPr>
      <w:bookmarkStart w:id="4" w:name="LGS_Join_List"/>
      <w:r>
        <w:rPr>
          <w:rtl/>
        </w:rPr>
        <w:t xml:space="preserve"> </w:t>
      </w:r>
      <w:bookmarkEnd w:id="4"/>
      <w:r w:rsidR="002200A1" w:rsidRPr="00CF1AA2">
        <w:rPr>
          <w:rFonts w:hint="cs"/>
          <w:rtl/>
        </w:rPr>
        <w:tab/>
      </w:r>
      <w:bookmarkStart w:id="5" w:name="LGS_PM_NamesJoin"/>
      <w:r>
        <w:rPr>
          <w:rFonts w:hint="cs"/>
          <w:rtl/>
        </w:rPr>
        <w:t xml:space="preserve"> </w:t>
      </w:r>
      <w:bookmarkEnd w:id="5"/>
    </w:p>
    <w:p w14:paraId="0108906A" w14:textId="77777777" w:rsidR="00770335" w:rsidRDefault="00266D86" w:rsidP="0036422C">
      <w:pPr>
        <w:pStyle w:val="David"/>
        <w:ind w:left="3544"/>
        <w:rPr>
          <w:rFonts w:hint="cs"/>
          <w:rtl/>
        </w:rPr>
      </w:pPr>
      <w:r>
        <w:t>____</w:t>
      </w:r>
      <w:r w:rsidR="00E374F2">
        <w:t>__</w:t>
      </w:r>
      <w:r>
        <w:t>________________________________________</w:t>
      </w:r>
      <w:r w:rsidR="00770335">
        <w:rPr>
          <w:rFonts w:hint="cs"/>
          <w:rtl/>
        </w:rPr>
        <w:t xml:space="preserve">               </w:t>
      </w:r>
    </w:p>
    <w:p w14:paraId="34DB4103" w14:textId="43E1500C" w:rsidR="00904591" w:rsidRPr="00904591" w:rsidRDefault="00770335" w:rsidP="0036422C">
      <w:pPr>
        <w:pStyle w:val="David"/>
        <w:ind w:left="3544"/>
        <w:rPr>
          <w:sz w:val="4"/>
          <w:szCs w:val="4"/>
          <w:rtl/>
        </w:rPr>
      </w:pPr>
      <w:r>
        <w:rPr>
          <w:rFonts w:hint="cs"/>
          <w:rtl/>
        </w:rPr>
        <w:t xml:space="preserve">                                                    פ/5289/20</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D" w14:textId="7211B651" w:rsidR="00E13C27" w:rsidRPr="00DE341D" w:rsidRDefault="00A443CF" w:rsidP="00770335">
      <w:pPr>
        <w:pStyle w:val="HeadHatzaotHok"/>
        <w:rPr>
          <w:rtl/>
        </w:rPr>
      </w:pPr>
      <w:bookmarkStart w:id="6" w:name="LGS_Subject"/>
      <w:r>
        <w:rPr>
          <w:rFonts w:hint="cs"/>
          <w:rtl/>
        </w:rPr>
        <w:t xml:space="preserve">הצעת חוק שירותי הדת היהודיים (תיקון </w:t>
      </w:r>
      <w:r w:rsidR="00770335">
        <w:rPr>
          <w:rFonts w:hint="eastAsia"/>
          <w:rtl/>
        </w:rPr>
        <w:t>–</w:t>
      </w:r>
      <w:r>
        <w:rPr>
          <w:rFonts w:hint="cs"/>
          <w:rtl/>
        </w:rPr>
        <w:t xml:space="preserve"> פרסום מחירון לרכישת קבר), </w:t>
      </w:r>
      <w:proofErr w:type="spellStart"/>
      <w:r>
        <w:rPr>
          <w:rFonts w:hint="cs"/>
          <w:rtl/>
        </w:rPr>
        <w:t>התשע"ח</w:t>
      </w:r>
      <w:proofErr w:type="spellEnd"/>
      <w:r w:rsidR="00770335">
        <w:rPr>
          <w:rFonts w:hint="eastAsia"/>
          <w:rtl/>
        </w:rPr>
        <w:t>–</w:t>
      </w:r>
      <w:r>
        <w:rPr>
          <w:rFonts w:hint="cs"/>
          <w:rtl/>
        </w:rPr>
        <w:t>2018</w:t>
      </w:r>
      <w:bookmarkEnd w:id="6"/>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69"/>
        <w:gridCol w:w="624"/>
        <w:gridCol w:w="624"/>
        <w:gridCol w:w="624"/>
        <w:gridCol w:w="624"/>
        <w:gridCol w:w="624"/>
        <w:gridCol w:w="624"/>
        <w:gridCol w:w="4025"/>
      </w:tblGrid>
      <w:tr w:rsidR="006C591D" w14:paraId="5307D612" w14:textId="77777777" w:rsidTr="0020006F">
        <w:trPr>
          <w:cantSplit/>
        </w:trPr>
        <w:tc>
          <w:tcPr>
            <w:tcW w:w="1869" w:type="dxa"/>
          </w:tcPr>
          <w:p w14:paraId="422BCB53" w14:textId="77777777" w:rsidR="006C591D" w:rsidRDefault="006C591D" w:rsidP="0020006F">
            <w:pPr>
              <w:pStyle w:val="TableSideHeading"/>
              <w:keepLines w:val="0"/>
              <w:rPr>
                <w:rtl/>
              </w:rPr>
            </w:pPr>
            <w:r>
              <w:rPr>
                <w:rFonts w:hint="cs"/>
                <w:rtl/>
              </w:rPr>
              <w:t>תיקון סעיף 14א4</w:t>
            </w:r>
          </w:p>
          <w:p w14:paraId="2523F656" w14:textId="77777777" w:rsidR="006C591D" w:rsidRDefault="006C591D" w:rsidP="0020006F">
            <w:pPr>
              <w:pStyle w:val="TableSideHeading"/>
              <w:keepLines w:val="0"/>
            </w:pPr>
          </w:p>
        </w:tc>
        <w:tc>
          <w:tcPr>
            <w:tcW w:w="624" w:type="dxa"/>
          </w:tcPr>
          <w:p w14:paraId="6FAE0A25" w14:textId="77777777" w:rsidR="006C591D" w:rsidRDefault="006C591D" w:rsidP="0020006F">
            <w:pPr>
              <w:pStyle w:val="TableText"/>
              <w:keepLines w:val="0"/>
            </w:pPr>
            <w:r>
              <w:rPr>
                <w:rFonts w:hint="cs"/>
                <w:rtl/>
              </w:rPr>
              <w:t>1.</w:t>
            </w:r>
          </w:p>
        </w:tc>
        <w:tc>
          <w:tcPr>
            <w:tcW w:w="7145" w:type="dxa"/>
            <w:gridSpan w:val="6"/>
          </w:tcPr>
          <w:p w14:paraId="02C82388" w14:textId="0A50E29F" w:rsidR="006C591D" w:rsidRDefault="00770335" w:rsidP="00770335">
            <w:pPr>
              <w:pStyle w:val="TableBlock"/>
            </w:pPr>
            <w:r>
              <w:rPr>
                <w:rFonts w:hint="cs"/>
                <w:rtl/>
              </w:rPr>
              <w:t>ב</w:t>
            </w:r>
            <w:r w:rsidR="006C591D">
              <w:rPr>
                <w:rFonts w:hint="cs"/>
                <w:rtl/>
              </w:rPr>
              <w:t xml:space="preserve">חוק שירותי הדת היהודיים [נוסח משולב], </w:t>
            </w:r>
            <w:proofErr w:type="spellStart"/>
            <w:r w:rsidR="006C591D">
              <w:rPr>
                <w:rFonts w:hint="cs"/>
                <w:rtl/>
              </w:rPr>
              <w:t>התשל"א</w:t>
            </w:r>
            <w:proofErr w:type="spellEnd"/>
            <w:r>
              <w:rPr>
                <w:rFonts w:hint="eastAsia"/>
                <w:rtl/>
              </w:rPr>
              <w:t>–</w:t>
            </w:r>
            <w:r>
              <w:rPr>
                <w:rFonts w:hint="cs"/>
                <w:rtl/>
              </w:rPr>
              <w:t xml:space="preserve">1971 </w:t>
            </w:r>
            <w:r>
              <w:rPr>
                <w:rFonts w:hint="cs"/>
                <w:rtl/>
              </w:rPr>
              <w:t xml:space="preserve">(להלן </w:t>
            </w:r>
            <w:r>
              <w:rPr>
                <w:rtl/>
              </w:rPr>
              <w:t>–</w:t>
            </w:r>
            <w:r>
              <w:rPr>
                <w:rFonts w:hint="cs"/>
                <w:rtl/>
              </w:rPr>
              <w:t xml:space="preserve"> החוק העיקרי), </w:t>
            </w:r>
            <w:r>
              <w:rPr>
                <w:rFonts w:hint="cs"/>
                <w:rtl/>
              </w:rPr>
              <w:t>ב</w:t>
            </w:r>
            <w:r w:rsidRPr="00A750A9">
              <w:rPr>
                <w:rFonts w:hint="cs"/>
                <w:rtl/>
              </w:rPr>
              <w:t>סע</w:t>
            </w:r>
            <w:r>
              <w:rPr>
                <w:rFonts w:hint="cs"/>
                <w:rtl/>
              </w:rPr>
              <w:t>יף 14א4</w:t>
            </w:r>
            <w:r>
              <w:rPr>
                <w:rFonts w:hint="cs"/>
                <w:rtl/>
              </w:rPr>
              <w:t xml:space="preserve"> </w:t>
            </w:r>
            <w:r w:rsidR="006C591D">
              <w:rPr>
                <w:rFonts w:hint="eastAsia"/>
                <w:rtl/>
              </w:rPr>
              <w:t>–</w:t>
            </w:r>
            <w:r w:rsidR="006C591D">
              <w:rPr>
                <w:rFonts w:hint="cs"/>
                <w:rtl/>
              </w:rPr>
              <w:t xml:space="preserve">  </w:t>
            </w:r>
          </w:p>
        </w:tc>
      </w:tr>
      <w:tr w:rsidR="006C591D" w14:paraId="6DDD16D2" w14:textId="77777777" w:rsidTr="0020006F">
        <w:trPr>
          <w:cantSplit/>
        </w:trPr>
        <w:tc>
          <w:tcPr>
            <w:tcW w:w="1869" w:type="dxa"/>
          </w:tcPr>
          <w:p w14:paraId="6EAC5D2F" w14:textId="77777777" w:rsidR="006C591D" w:rsidRDefault="006C591D" w:rsidP="0020006F">
            <w:pPr>
              <w:pStyle w:val="TableSideHeading"/>
              <w:keepLines w:val="0"/>
              <w:rPr>
                <w:rtl/>
              </w:rPr>
            </w:pPr>
          </w:p>
        </w:tc>
        <w:tc>
          <w:tcPr>
            <w:tcW w:w="624" w:type="dxa"/>
          </w:tcPr>
          <w:p w14:paraId="657FD373" w14:textId="77777777" w:rsidR="006C591D" w:rsidRDefault="006C591D" w:rsidP="0020006F">
            <w:pPr>
              <w:pStyle w:val="TableText"/>
              <w:rPr>
                <w:rtl/>
              </w:rPr>
            </w:pPr>
          </w:p>
        </w:tc>
        <w:tc>
          <w:tcPr>
            <w:tcW w:w="7145" w:type="dxa"/>
            <w:gridSpan w:val="6"/>
          </w:tcPr>
          <w:p w14:paraId="73DFDAE2" w14:textId="1AA2130B" w:rsidR="006C591D" w:rsidRDefault="006C591D" w:rsidP="00770335">
            <w:pPr>
              <w:pStyle w:val="TableBlock"/>
              <w:rPr>
                <w:rtl/>
              </w:rPr>
            </w:pPr>
            <w:r>
              <w:rPr>
                <w:rFonts w:hint="cs"/>
                <w:rtl/>
              </w:rPr>
              <w:t>(</w:t>
            </w:r>
            <w:r w:rsidR="00770335">
              <w:rPr>
                <w:rFonts w:hint="cs"/>
                <w:rtl/>
              </w:rPr>
              <w:t>1</w:t>
            </w:r>
            <w:r>
              <w:rPr>
                <w:rFonts w:hint="cs"/>
                <w:rtl/>
              </w:rPr>
              <w:t>)</w:t>
            </w:r>
            <w:r>
              <w:rPr>
                <w:rtl/>
              </w:rPr>
              <w:tab/>
            </w:r>
            <w:r>
              <w:rPr>
                <w:rFonts w:hint="cs"/>
                <w:rtl/>
              </w:rPr>
              <w:t xml:space="preserve">בכל מקום, המילה "בחיים" </w:t>
            </w:r>
            <w:r>
              <w:rPr>
                <w:rtl/>
              </w:rPr>
              <w:t>–</w:t>
            </w:r>
            <w:r>
              <w:rPr>
                <w:rFonts w:hint="cs"/>
                <w:rtl/>
              </w:rPr>
              <w:t xml:space="preserve"> תימחק;</w:t>
            </w:r>
          </w:p>
        </w:tc>
      </w:tr>
      <w:tr w:rsidR="006C591D" w14:paraId="79A63BEC" w14:textId="77777777" w:rsidTr="0020006F">
        <w:trPr>
          <w:cantSplit/>
        </w:trPr>
        <w:tc>
          <w:tcPr>
            <w:tcW w:w="1869" w:type="dxa"/>
          </w:tcPr>
          <w:p w14:paraId="55C166E8" w14:textId="77777777" w:rsidR="006C591D" w:rsidRDefault="006C591D" w:rsidP="0020006F">
            <w:pPr>
              <w:pStyle w:val="TableSideHeading"/>
              <w:keepLines w:val="0"/>
              <w:rPr>
                <w:rtl/>
              </w:rPr>
            </w:pPr>
          </w:p>
        </w:tc>
        <w:tc>
          <w:tcPr>
            <w:tcW w:w="624" w:type="dxa"/>
          </w:tcPr>
          <w:p w14:paraId="7795AC6B" w14:textId="77777777" w:rsidR="006C591D" w:rsidRDefault="006C591D" w:rsidP="0020006F">
            <w:pPr>
              <w:pStyle w:val="TableText"/>
              <w:rPr>
                <w:rtl/>
              </w:rPr>
            </w:pPr>
          </w:p>
        </w:tc>
        <w:tc>
          <w:tcPr>
            <w:tcW w:w="7145" w:type="dxa"/>
            <w:gridSpan w:val="6"/>
          </w:tcPr>
          <w:p w14:paraId="4404726B" w14:textId="5217ADFF" w:rsidR="006C591D" w:rsidRDefault="006C591D" w:rsidP="00770335">
            <w:pPr>
              <w:pStyle w:val="TableBlock"/>
              <w:rPr>
                <w:rtl/>
              </w:rPr>
            </w:pPr>
            <w:r>
              <w:rPr>
                <w:rFonts w:hint="cs"/>
                <w:rtl/>
              </w:rPr>
              <w:t>(</w:t>
            </w:r>
            <w:r w:rsidR="00770335">
              <w:rPr>
                <w:rFonts w:hint="cs"/>
                <w:rtl/>
              </w:rPr>
              <w:t>2</w:t>
            </w:r>
            <w:r>
              <w:rPr>
                <w:rFonts w:hint="cs"/>
                <w:rtl/>
              </w:rPr>
              <w:t>)</w:t>
            </w:r>
            <w:r>
              <w:rPr>
                <w:rtl/>
              </w:rPr>
              <w:tab/>
            </w:r>
            <w:proofErr w:type="spellStart"/>
            <w:r>
              <w:rPr>
                <w:rFonts w:hint="cs"/>
                <w:rtl/>
              </w:rPr>
              <w:t>הסיפה</w:t>
            </w:r>
            <w:proofErr w:type="spellEnd"/>
            <w:r>
              <w:rPr>
                <w:rFonts w:hint="cs"/>
                <w:rtl/>
              </w:rPr>
              <w:t xml:space="preserve"> </w:t>
            </w:r>
            <w:r>
              <w:rPr>
                <w:rFonts w:hint="eastAsia"/>
                <w:rtl/>
              </w:rPr>
              <w:t>–</w:t>
            </w:r>
            <w:r>
              <w:rPr>
                <w:rFonts w:hint="cs"/>
                <w:rtl/>
              </w:rPr>
              <w:t xml:space="preserve"> תימחק. </w:t>
            </w:r>
          </w:p>
        </w:tc>
      </w:tr>
      <w:tr w:rsidR="006C591D" w14:paraId="6B896A5A" w14:textId="77777777" w:rsidTr="0020006F">
        <w:trPr>
          <w:cantSplit/>
        </w:trPr>
        <w:tc>
          <w:tcPr>
            <w:tcW w:w="1869" w:type="dxa"/>
          </w:tcPr>
          <w:p w14:paraId="7955D0C1" w14:textId="617F70EF" w:rsidR="006C591D" w:rsidRDefault="00770335" w:rsidP="0020006F">
            <w:pPr>
              <w:pStyle w:val="TableSideHeading"/>
              <w:keepLines w:val="0"/>
              <w:rPr>
                <w:rtl/>
              </w:rPr>
            </w:pPr>
            <w:r>
              <w:rPr>
                <w:rFonts w:hint="cs"/>
                <w:rtl/>
              </w:rPr>
              <w:t>החלפת</w:t>
            </w:r>
            <w:r w:rsidR="006C591D" w:rsidRPr="009F3FF9">
              <w:rPr>
                <w:rFonts w:hint="cs"/>
                <w:rtl/>
              </w:rPr>
              <w:t xml:space="preserve"> סעיף </w:t>
            </w:r>
            <w:r w:rsidR="006C591D">
              <w:rPr>
                <w:rFonts w:hint="cs"/>
                <w:rtl/>
              </w:rPr>
              <w:t>14א9</w:t>
            </w:r>
          </w:p>
        </w:tc>
        <w:tc>
          <w:tcPr>
            <w:tcW w:w="624" w:type="dxa"/>
          </w:tcPr>
          <w:p w14:paraId="6C367E69" w14:textId="77777777" w:rsidR="006C591D" w:rsidRDefault="006C591D" w:rsidP="0020006F">
            <w:pPr>
              <w:pStyle w:val="TableText"/>
              <w:keepLines w:val="0"/>
              <w:rPr>
                <w:rtl/>
              </w:rPr>
            </w:pPr>
            <w:r>
              <w:rPr>
                <w:rFonts w:hint="cs"/>
                <w:rtl/>
              </w:rPr>
              <w:t>2</w:t>
            </w:r>
            <w:r w:rsidRPr="009F3FF9">
              <w:rPr>
                <w:rFonts w:hint="cs"/>
                <w:rtl/>
              </w:rPr>
              <w:t>.</w:t>
            </w:r>
          </w:p>
        </w:tc>
        <w:tc>
          <w:tcPr>
            <w:tcW w:w="7145" w:type="dxa"/>
            <w:gridSpan w:val="6"/>
          </w:tcPr>
          <w:p w14:paraId="019C7D8E" w14:textId="6ACE7AE6" w:rsidR="006C591D" w:rsidRDefault="006C591D" w:rsidP="00770335">
            <w:pPr>
              <w:pStyle w:val="TableBlock"/>
              <w:rPr>
                <w:rFonts w:hint="cs"/>
                <w:rtl/>
              </w:rPr>
            </w:pPr>
            <w:r>
              <w:rPr>
                <w:rFonts w:hint="cs"/>
                <w:rtl/>
              </w:rPr>
              <w:t xml:space="preserve">במקום </w:t>
            </w:r>
            <w:r w:rsidRPr="00A750A9">
              <w:rPr>
                <w:rFonts w:hint="cs"/>
                <w:rtl/>
              </w:rPr>
              <w:t>סע</w:t>
            </w:r>
            <w:r>
              <w:rPr>
                <w:rFonts w:hint="cs"/>
                <w:rtl/>
              </w:rPr>
              <w:t>יף 14א9 לחוק העיקרי יבוא</w:t>
            </w:r>
            <w:r w:rsidR="00770335">
              <w:rPr>
                <w:rFonts w:hint="cs"/>
                <w:rtl/>
              </w:rPr>
              <w:t>:</w:t>
            </w:r>
          </w:p>
        </w:tc>
      </w:tr>
      <w:tr w:rsidR="006C591D" w14:paraId="696B699B" w14:textId="77777777" w:rsidTr="0020006F">
        <w:trPr>
          <w:cantSplit/>
          <w:trHeight w:val="60"/>
        </w:trPr>
        <w:tc>
          <w:tcPr>
            <w:tcW w:w="1869" w:type="dxa"/>
          </w:tcPr>
          <w:p w14:paraId="11C200A0" w14:textId="77777777" w:rsidR="006C591D" w:rsidRDefault="006C591D" w:rsidP="0020006F">
            <w:pPr>
              <w:pStyle w:val="TableSideHeading"/>
              <w:keepLines w:val="0"/>
            </w:pPr>
          </w:p>
        </w:tc>
        <w:tc>
          <w:tcPr>
            <w:tcW w:w="624" w:type="dxa"/>
          </w:tcPr>
          <w:p w14:paraId="5A9EB7CA" w14:textId="77777777" w:rsidR="006C591D" w:rsidRDefault="006C591D" w:rsidP="0020006F">
            <w:pPr>
              <w:pStyle w:val="TableText"/>
              <w:keepLines w:val="0"/>
            </w:pPr>
          </w:p>
        </w:tc>
        <w:tc>
          <w:tcPr>
            <w:tcW w:w="1872" w:type="dxa"/>
            <w:gridSpan w:val="3"/>
          </w:tcPr>
          <w:p w14:paraId="15FDAD08" w14:textId="77777777" w:rsidR="006C591D" w:rsidRDefault="006C591D" w:rsidP="0020006F">
            <w:pPr>
              <w:pStyle w:val="TableInnerSideHeading"/>
            </w:pPr>
            <w:r>
              <w:rPr>
                <w:rFonts w:hint="cs"/>
                <w:rtl/>
              </w:rPr>
              <w:t>"חובת הצגת מידע על ידי נותן שירותים</w:t>
            </w:r>
          </w:p>
        </w:tc>
        <w:tc>
          <w:tcPr>
            <w:tcW w:w="624" w:type="dxa"/>
          </w:tcPr>
          <w:p w14:paraId="3FE3CDEB" w14:textId="77777777" w:rsidR="006C591D" w:rsidRDefault="006C591D" w:rsidP="0020006F">
            <w:pPr>
              <w:pStyle w:val="TableText"/>
            </w:pPr>
            <w:r>
              <w:rPr>
                <w:rFonts w:hint="cs"/>
                <w:rtl/>
              </w:rPr>
              <w:t>14א9.</w:t>
            </w:r>
          </w:p>
        </w:tc>
        <w:tc>
          <w:tcPr>
            <w:tcW w:w="4649" w:type="dxa"/>
            <w:gridSpan w:val="2"/>
          </w:tcPr>
          <w:p w14:paraId="215F8B30" w14:textId="77777777" w:rsidR="006C591D" w:rsidRDefault="006C591D" w:rsidP="0020006F">
            <w:pPr>
              <w:pStyle w:val="TableBlock"/>
            </w:pPr>
            <w:r>
              <w:rPr>
                <w:rFonts w:hint="cs"/>
                <w:rtl/>
              </w:rPr>
              <w:t>(א)</w:t>
            </w:r>
            <w:r>
              <w:rPr>
                <w:rtl/>
              </w:rPr>
              <w:tab/>
            </w:r>
            <w:r w:rsidRPr="00D640B9">
              <w:rPr>
                <w:rtl/>
              </w:rPr>
              <w:t>מי שנותן שירותים כאמור בסעיף 14ב, יציג במשרדיו, במקום בולט לעין ובאופן ברור וקריא</w:t>
            </w:r>
            <w:r>
              <w:rPr>
                <w:rFonts w:hint="cs"/>
                <w:rtl/>
              </w:rPr>
              <w:t xml:space="preserve"> את כל אלה: </w:t>
            </w:r>
          </w:p>
        </w:tc>
      </w:tr>
      <w:tr w:rsidR="006C591D" w14:paraId="64AFC210" w14:textId="77777777" w:rsidTr="0020006F">
        <w:trPr>
          <w:cantSplit/>
          <w:trHeight w:val="60"/>
        </w:trPr>
        <w:tc>
          <w:tcPr>
            <w:tcW w:w="1869" w:type="dxa"/>
          </w:tcPr>
          <w:p w14:paraId="58BF4FDA" w14:textId="77777777" w:rsidR="006C591D" w:rsidRDefault="006C591D" w:rsidP="0020006F">
            <w:pPr>
              <w:pStyle w:val="TableSideHeading"/>
            </w:pPr>
          </w:p>
        </w:tc>
        <w:tc>
          <w:tcPr>
            <w:tcW w:w="624" w:type="dxa"/>
          </w:tcPr>
          <w:p w14:paraId="3E67314B" w14:textId="77777777" w:rsidR="006C591D" w:rsidRDefault="006C591D" w:rsidP="0020006F">
            <w:pPr>
              <w:pStyle w:val="TableText"/>
            </w:pPr>
          </w:p>
        </w:tc>
        <w:tc>
          <w:tcPr>
            <w:tcW w:w="624" w:type="dxa"/>
          </w:tcPr>
          <w:p w14:paraId="17DACE95" w14:textId="77777777" w:rsidR="006C591D" w:rsidRDefault="006C591D" w:rsidP="0020006F">
            <w:pPr>
              <w:pStyle w:val="TableText"/>
            </w:pPr>
          </w:p>
        </w:tc>
        <w:tc>
          <w:tcPr>
            <w:tcW w:w="624" w:type="dxa"/>
          </w:tcPr>
          <w:p w14:paraId="4033F6C8" w14:textId="77777777" w:rsidR="006C591D" w:rsidRDefault="006C591D" w:rsidP="0020006F">
            <w:pPr>
              <w:pStyle w:val="TableText"/>
            </w:pPr>
          </w:p>
        </w:tc>
        <w:tc>
          <w:tcPr>
            <w:tcW w:w="624" w:type="dxa"/>
          </w:tcPr>
          <w:p w14:paraId="248F2987" w14:textId="77777777" w:rsidR="006C591D" w:rsidRDefault="006C591D" w:rsidP="0020006F">
            <w:pPr>
              <w:pStyle w:val="TableText"/>
            </w:pPr>
          </w:p>
        </w:tc>
        <w:tc>
          <w:tcPr>
            <w:tcW w:w="624" w:type="dxa"/>
          </w:tcPr>
          <w:p w14:paraId="2338F5D7" w14:textId="77777777" w:rsidR="006C591D" w:rsidRDefault="006C591D" w:rsidP="0020006F">
            <w:pPr>
              <w:pStyle w:val="TableText"/>
            </w:pPr>
          </w:p>
        </w:tc>
        <w:tc>
          <w:tcPr>
            <w:tcW w:w="624" w:type="dxa"/>
          </w:tcPr>
          <w:p w14:paraId="5B3BEBC1" w14:textId="77777777" w:rsidR="006C591D" w:rsidRDefault="006C591D" w:rsidP="0020006F">
            <w:pPr>
              <w:pStyle w:val="TableText"/>
            </w:pPr>
          </w:p>
        </w:tc>
        <w:tc>
          <w:tcPr>
            <w:tcW w:w="4025" w:type="dxa"/>
          </w:tcPr>
          <w:p w14:paraId="24D0433A" w14:textId="55485701" w:rsidR="006C591D" w:rsidRDefault="006C591D" w:rsidP="00770335">
            <w:pPr>
              <w:pStyle w:val="TableBlock"/>
              <w:rPr>
                <w:rtl/>
              </w:rPr>
            </w:pPr>
            <w:r>
              <w:rPr>
                <w:rFonts w:hint="cs"/>
                <w:rtl/>
              </w:rPr>
              <w:t>(1)</w:t>
            </w:r>
            <w:r>
              <w:rPr>
                <w:rtl/>
              </w:rPr>
              <w:tab/>
            </w:r>
            <w:r w:rsidRPr="00D640B9">
              <w:rPr>
                <w:rtl/>
              </w:rPr>
              <w:t xml:space="preserve">מפה מפורטת של בית העלמין, בחתימת נציג המוסד לביטוח לאומי, שבה יצוינו הגושים והחלקות בבית העלמין, לרבות השטחים המוגדרים שבהם רשאי נותן השירותים לגבות אגרת שירותים ותשלום אחר, בקשר לקבורה ולהקמת המצבה, נוסף על דמי הקבורה לפי חוק הביטוח הלאומי [נוסח משולב], </w:t>
            </w:r>
            <w:proofErr w:type="spellStart"/>
            <w:r w:rsidRPr="00D640B9">
              <w:rPr>
                <w:rtl/>
              </w:rPr>
              <w:t>התשנ"ה</w:t>
            </w:r>
            <w:proofErr w:type="spellEnd"/>
            <w:r w:rsidR="00770335">
              <w:rPr>
                <w:rFonts w:hint="cs"/>
                <w:rtl/>
              </w:rPr>
              <w:t>–</w:t>
            </w:r>
            <w:r w:rsidRPr="00D640B9">
              <w:rPr>
                <w:rtl/>
              </w:rPr>
              <w:t>1995</w:t>
            </w:r>
            <w:r>
              <w:rPr>
                <w:rFonts w:hint="cs"/>
                <w:rtl/>
              </w:rPr>
              <w:t>;</w:t>
            </w:r>
          </w:p>
        </w:tc>
      </w:tr>
      <w:tr w:rsidR="006C591D" w14:paraId="42FE8565" w14:textId="77777777" w:rsidTr="0020006F">
        <w:trPr>
          <w:cantSplit/>
          <w:trHeight w:val="60"/>
        </w:trPr>
        <w:tc>
          <w:tcPr>
            <w:tcW w:w="1869" w:type="dxa"/>
          </w:tcPr>
          <w:p w14:paraId="45B4D048" w14:textId="77777777" w:rsidR="006C591D" w:rsidRDefault="006C591D" w:rsidP="0020006F">
            <w:pPr>
              <w:pStyle w:val="TableSideHeading"/>
            </w:pPr>
          </w:p>
        </w:tc>
        <w:tc>
          <w:tcPr>
            <w:tcW w:w="624" w:type="dxa"/>
          </w:tcPr>
          <w:p w14:paraId="44A72649" w14:textId="77777777" w:rsidR="006C591D" w:rsidRDefault="006C591D" w:rsidP="0020006F">
            <w:pPr>
              <w:pStyle w:val="TableText"/>
            </w:pPr>
          </w:p>
        </w:tc>
        <w:tc>
          <w:tcPr>
            <w:tcW w:w="624" w:type="dxa"/>
          </w:tcPr>
          <w:p w14:paraId="5B7486F9" w14:textId="77777777" w:rsidR="006C591D" w:rsidRDefault="006C591D" w:rsidP="0020006F">
            <w:pPr>
              <w:pStyle w:val="TableText"/>
            </w:pPr>
          </w:p>
        </w:tc>
        <w:tc>
          <w:tcPr>
            <w:tcW w:w="624" w:type="dxa"/>
          </w:tcPr>
          <w:p w14:paraId="206AF119" w14:textId="77777777" w:rsidR="006C591D" w:rsidRDefault="006C591D" w:rsidP="0020006F">
            <w:pPr>
              <w:pStyle w:val="TableText"/>
            </w:pPr>
          </w:p>
        </w:tc>
        <w:tc>
          <w:tcPr>
            <w:tcW w:w="624" w:type="dxa"/>
          </w:tcPr>
          <w:p w14:paraId="41B02279" w14:textId="77777777" w:rsidR="006C591D" w:rsidRDefault="006C591D" w:rsidP="0020006F">
            <w:pPr>
              <w:pStyle w:val="TableText"/>
            </w:pPr>
          </w:p>
        </w:tc>
        <w:tc>
          <w:tcPr>
            <w:tcW w:w="624" w:type="dxa"/>
          </w:tcPr>
          <w:p w14:paraId="1D27665C" w14:textId="77777777" w:rsidR="006C591D" w:rsidRDefault="006C591D" w:rsidP="0020006F">
            <w:pPr>
              <w:pStyle w:val="TableText"/>
            </w:pPr>
          </w:p>
        </w:tc>
        <w:tc>
          <w:tcPr>
            <w:tcW w:w="624" w:type="dxa"/>
          </w:tcPr>
          <w:p w14:paraId="0B8E8834" w14:textId="77777777" w:rsidR="006C591D" w:rsidRDefault="006C591D" w:rsidP="0020006F">
            <w:pPr>
              <w:pStyle w:val="TableText"/>
            </w:pPr>
          </w:p>
        </w:tc>
        <w:tc>
          <w:tcPr>
            <w:tcW w:w="4025" w:type="dxa"/>
          </w:tcPr>
          <w:p w14:paraId="760BEFE1" w14:textId="4C3E3FEC" w:rsidR="006C591D" w:rsidRDefault="006C591D" w:rsidP="00770335">
            <w:pPr>
              <w:pStyle w:val="TableBlock"/>
              <w:rPr>
                <w:rtl/>
              </w:rPr>
            </w:pPr>
            <w:r>
              <w:rPr>
                <w:rFonts w:hint="cs"/>
                <w:rtl/>
              </w:rPr>
              <w:t>(2)</w:t>
            </w:r>
            <w:r>
              <w:rPr>
                <w:rtl/>
              </w:rPr>
              <w:tab/>
            </w:r>
            <w:r w:rsidRPr="00A750A9">
              <w:rPr>
                <w:rtl/>
              </w:rPr>
              <w:t xml:space="preserve">רשימת </w:t>
            </w:r>
            <w:r>
              <w:rPr>
                <w:rFonts w:hint="cs"/>
                <w:rtl/>
              </w:rPr>
              <w:t>תעריפים</w:t>
            </w:r>
            <w:r w:rsidRPr="00A750A9">
              <w:rPr>
                <w:rtl/>
              </w:rPr>
              <w:t xml:space="preserve"> של הסכומים שיש לש</w:t>
            </w:r>
            <w:r>
              <w:rPr>
                <w:rtl/>
              </w:rPr>
              <w:t xml:space="preserve">לם בעד חלקת קבר </w:t>
            </w:r>
            <w:r>
              <w:rPr>
                <w:rFonts w:hint="cs"/>
                <w:rtl/>
              </w:rPr>
              <w:t>לפי הוראות חוק זה</w:t>
            </w:r>
            <w:r w:rsidRPr="00A750A9">
              <w:rPr>
                <w:rtl/>
              </w:rPr>
              <w:t>, לרבות התעריף לאותו בית עלמין כמפורט בתוספת הראשונה או בתוספת השנייה</w:t>
            </w:r>
            <w:r>
              <w:rPr>
                <w:rFonts w:hint="cs"/>
                <w:rtl/>
              </w:rPr>
              <w:t xml:space="preserve"> לחוק</w:t>
            </w:r>
            <w:r w:rsidRPr="00A750A9">
              <w:rPr>
                <w:rtl/>
              </w:rPr>
              <w:t>, אגרות שירותים ותשלומים אחרים</w:t>
            </w:r>
            <w:r>
              <w:rPr>
                <w:rFonts w:hint="cs"/>
                <w:rtl/>
              </w:rPr>
              <w:t xml:space="preserve"> ש</w:t>
            </w:r>
            <w:r w:rsidRPr="00D640B9">
              <w:rPr>
                <w:rtl/>
              </w:rPr>
              <w:t>נותן השירותים</w:t>
            </w:r>
            <w:r>
              <w:rPr>
                <w:rFonts w:hint="cs"/>
                <w:rtl/>
              </w:rPr>
              <w:t xml:space="preserve"> כאמור </w:t>
            </w:r>
            <w:r w:rsidRPr="00D640B9">
              <w:rPr>
                <w:rtl/>
              </w:rPr>
              <w:t xml:space="preserve"> </w:t>
            </w:r>
            <w:r>
              <w:rPr>
                <w:rFonts w:hint="cs"/>
                <w:rtl/>
              </w:rPr>
              <w:t>רשאי לגבות</w:t>
            </w:r>
            <w:r w:rsidR="00770335">
              <w:rPr>
                <w:rFonts w:hint="cs"/>
                <w:rtl/>
              </w:rPr>
              <w:t xml:space="preserve"> </w:t>
            </w:r>
            <w:r w:rsidRPr="00D640B9">
              <w:rPr>
                <w:rtl/>
              </w:rPr>
              <w:t xml:space="preserve">בקשר לקבורה ולהקמת המצבה, נוסף על דמי הקבורה לפי חוק הביטוח הלאומי [נוסח משולב], </w:t>
            </w:r>
            <w:proofErr w:type="spellStart"/>
            <w:r w:rsidRPr="00D640B9">
              <w:rPr>
                <w:rtl/>
              </w:rPr>
              <w:t>התשנ"ה</w:t>
            </w:r>
            <w:proofErr w:type="spellEnd"/>
            <w:r w:rsidR="00770335">
              <w:rPr>
                <w:rFonts w:hint="eastAsia"/>
                <w:rtl/>
              </w:rPr>
              <w:t>–</w:t>
            </w:r>
            <w:r w:rsidRPr="00D640B9">
              <w:rPr>
                <w:rtl/>
              </w:rPr>
              <w:t>1995</w:t>
            </w:r>
            <w:r w:rsidR="00770335">
              <w:rPr>
                <w:rFonts w:hint="cs"/>
                <w:rtl/>
              </w:rPr>
              <w:t>,</w:t>
            </w:r>
            <w:r>
              <w:rPr>
                <w:rFonts w:hint="cs"/>
                <w:rtl/>
              </w:rPr>
              <w:t xml:space="preserve"> לעניין השטחים המוגדרים כאמור בפסקה (1), הנחות כאמור שלהן זכאי הרוכש ואפשרויות רכישת חלקות קבר בבית העלמין; רשימה כאמור תפורסם בשפות אנגלית, עברית, רוסית אמהרית</w:t>
            </w:r>
            <w:r w:rsidR="00770335">
              <w:rPr>
                <w:rFonts w:hint="cs"/>
                <w:rtl/>
              </w:rPr>
              <w:t>.</w:t>
            </w:r>
            <w:r>
              <w:rPr>
                <w:rFonts w:hint="cs"/>
                <w:rtl/>
              </w:rPr>
              <w:t xml:space="preserve"> </w:t>
            </w:r>
          </w:p>
        </w:tc>
      </w:tr>
      <w:tr w:rsidR="006C591D" w14:paraId="1259BDF4" w14:textId="77777777" w:rsidTr="0020006F">
        <w:trPr>
          <w:cantSplit/>
          <w:trHeight w:val="60"/>
        </w:trPr>
        <w:tc>
          <w:tcPr>
            <w:tcW w:w="1869" w:type="dxa"/>
          </w:tcPr>
          <w:p w14:paraId="39505ADE" w14:textId="77777777" w:rsidR="006C591D" w:rsidRDefault="006C591D" w:rsidP="0020006F">
            <w:pPr>
              <w:pStyle w:val="TableSideHeading"/>
            </w:pPr>
          </w:p>
        </w:tc>
        <w:tc>
          <w:tcPr>
            <w:tcW w:w="624" w:type="dxa"/>
          </w:tcPr>
          <w:p w14:paraId="5ABAD50F" w14:textId="77777777" w:rsidR="006C591D" w:rsidRDefault="006C591D" w:rsidP="0020006F">
            <w:pPr>
              <w:pStyle w:val="TableText"/>
            </w:pPr>
          </w:p>
        </w:tc>
        <w:tc>
          <w:tcPr>
            <w:tcW w:w="624" w:type="dxa"/>
          </w:tcPr>
          <w:p w14:paraId="4C8C7531" w14:textId="77777777" w:rsidR="006C591D" w:rsidRDefault="006C591D" w:rsidP="0020006F">
            <w:pPr>
              <w:pStyle w:val="TableText"/>
            </w:pPr>
          </w:p>
        </w:tc>
        <w:tc>
          <w:tcPr>
            <w:tcW w:w="624" w:type="dxa"/>
          </w:tcPr>
          <w:p w14:paraId="4378C359" w14:textId="77777777" w:rsidR="006C591D" w:rsidRDefault="006C591D" w:rsidP="0020006F">
            <w:pPr>
              <w:pStyle w:val="TableText"/>
            </w:pPr>
          </w:p>
        </w:tc>
        <w:tc>
          <w:tcPr>
            <w:tcW w:w="624" w:type="dxa"/>
          </w:tcPr>
          <w:p w14:paraId="0AEB126A" w14:textId="77777777" w:rsidR="006C591D" w:rsidRDefault="006C591D" w:rsidP="0020006F">
            <w:pPr>
              <w:pStyle w:val="TableText"/>
            </w:pPr>
          </w:p>
        </w:tc>
        <w:tc>
          <w:tcPr>
            <w:tcW w:w="624" w:type="dxa"/>
          </w:tcPr>
          <w:p w14:paraId="772E2141" w14:textId="77777777" w:rsidR="006C591D" w:rsidRDefault="006C591D" w:rsidP="0020006F">
            <w:pPr>
              <w:pStyle w:val="TableText"/>
            </w:pPr>
          </w:p>
        </w:tc>
        <w:tc>
          <w:tcPr>
            <w:tcW w:w="4649" w:type="dxa"/>
            <w:gridSpan w:val="2"/>
          </w:tcPr>
          <w:p w14:paraId="3FBEB605" w14:textId="7918E9B4" w:rsidR="006C591D" w:rsidRDefault="006C591D" w:rsidP="00644208">
            <w:pPr>
              <w:pStyle w:val="TableBlock"/>
              <w:rPr>
                <w:rtl/>
              </w:rPr>
            </w:pPr>
            <w:r>
              <w:rPr>
                <w:rFonts w:hint="cs"/>
                <w:rtl/>
              </w:rPr>
              <w:t>(ב)</w:t>
            </w:r>
            <w:r>
              <w:rPr>
                <w:rtl/>
              </w:rPr>
              <w:tab/>
              <w:t>נותן השירותים</w:t>
            </w:r>
            <w:r>
              <w:rPr>
                <w:rFonts w:hint="cs"/>
                <w:rtl/>
              </w:rPr>
              <w:t xml:space="preserve"> </w:t>
            </w:r>
            <w:r w:rsidRPr="00D640B9">
              <w:rPr>
                <w:rtl/>
              </w:rPr>
              <w:t>כאמור בסעיף 14ב</w:t>
            </w:r>
            <w:r>
              <w:rPr>
                <w:rtl/>
              </w:rPr>
              <w:t xml:space="preserve"> י</w:t>
            </w:r>
            <w:r>
              <w:rPr>
                <w:rFonts w:hint="cs"/>
                <w:rtl/>
              </w:rPr>
              <w:t xml:space="preserve">עביר </w:t>
            </w:r>
            <w:r>
              <w:rPr>
                <w:rtl/>
              </w:rPr>
              <w:t xml:space="preserve"> לידי השר את רשימת ה</w:t>
            </w:r>
            <w:r>
              <w:rPr>
                <w:rFonts w:hint="cs"/>
                <w:rtl/>
              </w:rPr>
              <w:t>תעריפים</w:t>
            </w:r>
            <w:r>
              <w:rPr>
                <w:rtl/>
              </w:rPr>
              <w:t xml:space="preserve"> כאמור בסעיף קטן (א), </w:t>
            </w:r>
            <w:r>
              <w:rPr>
                <w:rFonts w:hint="cs"/>
                <w:rtl/>
              </w:rPr>
              <w:t xml:space="preserve">והיא  </w:t>
            </w:r>
            <w:r>
              <w:rPr>
                <w:rtl/>
              </w:rPr>
              <w:t>ותפורסם באתר האינטרנט של המשרד</w:t>
            </w:r>
            <w:r>
              <w:rPr>
                <w:rFonts w:hint="cs"/>
                <w:rtl/>
              </w:rPr>
              <w:t xml:space="preserve"> לשירותי דת</w:t>
            </w:r>
            <w:r w:rsidR="00770335">
              <w:rPr>
                <w:rFonts w:hint="cs"/>
                <w:rtl/>
              </w:rPr>
              <w:t>.</w:t>
            </w:r>
          </w:p>
        </w:tc>
      </w:tr>
      <w:tr w:rsidR="006C591D" w14:paraId="5B534BF8" w14:textId="77777777" w:rsidTr="0020006F">
        <w:trPr>
          <w:cantSplit/>
          <w:trHeight w:val="60"/>
        </w:trPr>
        <w:tc>
          <w:tcPr>
            <w:tcW w:w="1869" w:type="dxa"/>
          </w:tcPr>
          <w:p w14:paraId="17D8EED8" w14:textId="77777777" w:rsidR="006C591D" w:rsidRDefault="006C591D" w:rsidP="0020006F">
            <w:pPr>
              <w:pStyle w:val="TableSideHeading"/>
            </w:pPr>
          </w:p>
        </w:tc>
        <w:tc>
          <w:tcPr>
            <w:tcW w:w="624" w:type="dxa"/>
          </w:tcPr>
          <w:p w14:paraId="784F8698" w14:textId="77777777" w:rsidR="006C591D" w:rsidRDefault="006C591D" w:rsidP="0020006F">
            <w:pPr>
              <w:pStyle w:val="TableText"/>
            </w:pPr>
          </w:p>
        </w:tc>
        <w:tc>
          <w:tcPr>
            <w:tcW w:w="624" w:type="dxa"/>
          </w:tcPr>
          <w:p w14:paraId="1DEB62EB" w14:textId="77777777" w:rsidR="006C591D" w:rsidRDefault="006C591D" w:rsidP="0020006F">
            <w:pPr>
              <w:pStyle w:val="TableText"/>
            </w:pPr>
          </w:p>
        </w:tc>
        <w:tc>
          <w:tcPr>
            <w:tcW w:w="624" w:type="dxa"/>
          </w:tcPr>
          <w:p w14:paraId="6A3E81D9" w14:textId="77777777" w:rsidR="006C591D" w:rsidRDefault="006C591D" w:rsidP="0020006F">
            <w:pPr>
              <w:pStyle w:val="TableText"/>
            </w:pPr>
          </w:p>
        </w:tc>
        <w:tc>
          <w:tcPr>
            <w:tcW w:w="624" w:type="dxa"/>
          </w:tcPr>
          <w:p w14:paraId="7B084FAC" w14:textId="77777777" w:rsidR="006C591D" w:rsidRDefault="006C591D" w:rsidP="0020006F">
            <w:pPr>
              <w:pStyle w:val="TableText"/>
            </w:pPr>
          </w:p>
        </w:tc>
        <w:tc>
          <w:tcPr>
            <w:tcW w:w="624" w:type="dxa"/>
          </w:tcPr>
          <w:p w14:paraId="08E584A1" w14:textId="77777777" w:rsidR="006C591D" w:rsidRDefault="006C591D" w:rsidP="0020006F">
            <w:pPr>
              <w:pStyle w:val="TableText"/>
            </w:pPr>
          </w:p>
        </w:tc>
        <w:tc>
          <w:tcPr>
            <w:tcW w:w="4649" w:type="dxa"/>
            <w:gridSpan w:val="2"/>
          </w:tcPr>
          <w:p w14:paraId="681DD3CD" w14:textId="44276943" w:rsidR="006C591D" w:rsidRDefault="006C591D" w:rsidP="00770335">
            <w:pPr>
              <w:pStyle w:val="TableBlock"/>
              <w:rPr>
                <w:rtl/>
              </w:rPr>
            </w:pPr>
            <w:r>
              <w:rPr>
                <w:rFonts w:hint="cs"/>
                <w:rtl/>
              </w:rPr>
              <w:t>(ג)</w:t>
            </w:r>
            <w:r>
              <w:rPr>
                <w:rtl/>
              </w:rPr>
              <w:tab/>
              <w:t>ביקש נותן שירותים לעדכן את רשימת המחירים, כאמור בסעיף קטן (א), י</w:t>
            </w:r>
            <w:r>
              <w:rPr>
                <w:rFonts w:hint="cs"/>
                <w:rtl/>
              </w:rPr>
              <w:t>עביר</w:t>
            </w:r>
            <w:r>
              <w:rPr>
                <w:rtl/>
              </w:rPr>
              <w:t xml:space="preserve"> את רשימת המחירים המעודכנת לשר</w:t>
            </w:r>
            <w:r>
              <w:rPr>
                <w:rFonts w:hint="cs"/>
                <w:rtl/>
              </w:rPr>
              <w:t>;   תעריפים לעניין תשלומים אחרים ש</w:t>
            </w:r>
            <w:r>
              <w:rPr>
                <w:rtl/>
              </w:rPr>
              <w:t xml:space="preserve">נותן </w:t>
            </w:r>
            <w:r w:rsidRPr="00D640B9">
              <w:rPr>
                <w:rtl/>
              </w:rPr>
              <w:t>שירותים</w:t>
            </w:r>
            <w:r>
              <w:rPr>
                <w:rFonts w:hint="cs"/>
                <w:rtl/>
              </w:rPr>
              <w:t xml:space="preserve"> כאמור רשאי לגבות</w:t>
            </w:r>
            <w:r w:rsidRPr="00D640B9">
              <w:rPr>
                <w:rtl/>
              </w:rPr>
              <w:t xml:space="preserve"> בקשר לקבורה ולהקמת המצבה, נוסף על דמי הקבורה לפי חוק הביטוח הלאומי [נוסח משולב], </w:t>
            </w:r>
            <w:proofErr w:type="spellStart"/>
            <w:r w:rsidRPr="00D640B9">
              <w:rPr>
                <w:rtl/>
              </w:rPr>
              <w:t>התשנ"ה</w:t>
            </w:r>
            <w:proofErr w:type="spellEnd"/>
            <w:r w:rsidR="00770335">
              <w:rPr>
                <w:rFonts w:hint="eastAsia"/>
                <w:rtl/>
              </w:rPr>
              <w:t>–</w:t>
            </w:r>
            <w:r w:rsidRPr="00D640B9">
              <w:rPr>
                <w:rtl/>
              </w:rPr>
              <w:t>1995</w:t>
            </w:r>
            <w:r w:rsidR="00770335">
              <w:rPr>
                <w:rFonts w:hint="cs"/>
                <w:rtl/>
              </w:rPr>
              <w:t xml:space="preserve">, </w:t>
            </w:r>
            <w:r>
              <w:rPr>
                <w:rFonts w:hint="cs"/>
                <w:rtl/>
              </w:rPr>
              <w:t>לעניין השטחים המוגדרים כאמור בפסקה (1)</w:t>
            </w:r>
            <w:r w:rsidR="00770335">
              <w:rPr>
                <w:rFonts w:hint="cs"/>
                <w:rtl/>
              </w:rPr>
              <w:t>,</w:t>
            </w:r>
            <w:r>
              <w:rPr>
                <w:rtl/>
              </w:rPr>
              <w:t xml:space="preserve"> </w:t>
            </w:r>
            <w:r w:rsidR="00770335">
              <w:rPr>
                <w:rFonts w:hint="cs"/>
                <w:rtl/>
              </w:rPr>
              <w:t>וי</w:t>
            </w:r>
            <w:r>
              <w:rPr>
                <w:rFonts w:hint="cs"/>
                <w:rtl/>
              </w:rPr>
              <w:t>יכנסו</w:t>
            </w:r>
            <w:r>
              <w:rPr>
                <w:rtl/>
              </w:rPr>
              <w:t xml:space="preserve"> לתוקף עם פרסומה </w:t>
            </w:r>
            <w:r>
              <w:rPr>
                <w:rFonts w:hint="cs"/>
                <w:rtl/>
              </w:rPr>
              <w:t xml:space="preserve"> של הרשימה באתר האינטרנט של המשרד לשירותי דת</w:t>
            </w:r>
            <w:r>
              <w:rPr>
                <w:rtl/>
              </w:rPr>
              <w:t>.</w:t>
            </w:r>
            <w:r>
              <w:rPr>
                <w:rFonts w:hint="cs"/>
                <w:rtl/>
              </w:rPr>
              <w:t>"</w:t>
            </w:r>
          </w:p>
        </w:tc>
      </w:tr>
    </w:tbl>
    <w:p w14:paraId="6A31F57A" w14:textId="77777777" w:rsidR="00823F03" w:rsidRPr="006C591D" w:rsidRDefault="00823F03" w:rsidP="00823F03">
      <w:pPr>
        <w:pStyle w:val="HeadDivreiHesber"/>
        <w:rPr>
          <w:rtl/>
        </w:rPr>
      </w:pPr>
    </w:p>
    <w:p w14:paraId="7F6961CA" w14:textId="10C4C8CE" w:rsidR="002D1EE3" w:rsidRPr="00823F03" w:rsidRDefault="00D640B9" w:rsidP="00823F03">
      <w:pPr>
        <w:pStyle w:val="HeadDivreiHesber"/>
        <w:rPr>
          <w:rtl/>
        </w:rPr>
      </w:pPr>
      <w:r>
        <w:rPr>
          <w:rFonts w:hint="cs"/>
          <w:rtl/>
        </w:rPr>
        <w:t>ד</w:t>
      </w:r>
      <w:r w:rsidR="002D1EE3" w:rsidRPr="00823F03">
        <w:rPr>
          <w:rFonts w:hint="cs"/>
          <w:rtl/>
        </w:rPr>
        <w:t>ברי הסבר</w:t>
      </w:r>
    </w:p>
    <w:p w14:paraId="130C94EC" w14:textId="259F21CB" w:rsidR="0072286F" w:rsidRPr="00823F03" w:rsidRDefault="0072286F" w:rsidP="00770335">
      <w:pPr>
        <w:pStyle w:val="Hesber"/>
        <w:spacing w:after="0"/>
        <w:ind w:left="0" w:firstLine="340"/>
        <w:rPr>
          <w:rtl/>
        </w:rPr>
      </w:pPr>
      <w:r w:rsidRPr="00823F03">
        <w:rPr>
          <w:rFonts w:hint="cs"/>
          <w:rtl/>
        </w:rPr>
        <w:t xml:space="preserve">פרק </w:t>
      </w:r>
      <w:r w:rsidRPr="00823F03">
        <w:rPr>
          <w:rtl/>
        </w:rPr>
        <w:t xml:space="preserve">הזמן שבין </w:t>
      </w:r>
      <w:r w:rsidRPr="00823F03">
        <w:rPr>
          <w:rFonts w:hint="cs"/>
          <w:rtl/>
        </w:rPr>
        <w:t>פטירתו של אדם קרוב</w:t>
      </w:r>
      <w:r w:rsidRPr="00823F03">
        <w:rPr>
          <w:rtl/>
        </w:rPr>
        <w:t xml:space="preserve"> ל</w:t>
      </w:r>
      <w:r w:rsidRPr="00823F03">
        <w:rPr>
          <w:rFonts w:hint="cs"/>
          <w:rtl/>
        </w:rPr>
        <w:t>מועד קבורתו,</w:t>
      </w:r>
      <w:r w:rsidRPr="00823F03">
        <w:rPr>
          <w:rtl/>
        </w:rPr>
        <w:t xml:space="preserve"> </w:t>
      </w:r>
      <w:r w:rsidR="00770335">
        <w:rPr>
          <w:rFonts w:hint="cs"/>
          <w:rtl/>
        </w:rPr>
        <w:t>הוא</w:t>
      </w:r>
      <w:r w:rsidRPr="00823F03">
        <w:rPr>
          <w:rtl/>
        </w:rPr>
        <w:t xml:space="preserve"> </w:t>
      </w:r>
      <w:r w:rsidRPr="00823F03">
        <w:rPr>
          <w:rFonts w:hint="cs"/>
          <w:rtl/>
        </w:rPr>
        <w:t xml:space="preserve">זמן </w:t>
      </w:r>
      <w:r w:rsidRPr="00823F03">
        <w:rPr>
          <w:rtl/>
        </w:rPr>
        <w:t xml:space="preserve">טעון </w:t>
      </w:r>
      <w:r w:rsidRPr="00823F03">
        <w:rPr>
          <w:rFonts w:hint="cs"/>
          <w:rtl/>
        </w:rPr>
        <w:t xml:space="preserve">מבחינה </w:t>
      </w:r>
      <w:r w:rsidRPr="00823F03">
        <w:rPr>
          <w:rtl/>
        </w:rPr>
        <w:t>רגשית</w:t>
      </w:r>
      <w:r w:rsidRPr="00823F03">
        <w:rPr>
          <w:rFonts w:hint="cs"/>
          <w:rtl/>
        </w:rPr>
        <w:t xml:space="preserve"> ואף גדוש בפעולות לוגיסטיות שונות </w:t>
      </w:r>
      <w:r w:rsidR="00770335">
        <w:rPr>
          <w:rFonts w:hint="cs"/>
          <w:rtl/>
        </w:rPr>
        <w:t>ש</w:t>
      </w:r>
      <w:r w:rsidRPr="00823F03">
        <w:rPr>
          <w:rFonts w:hint="cs"/>
          <w:rtl/>
        </w:rPr>
        <w:t>מוטלות על בני משפחתו ויקיריו של הנפטר. על בני המשפחה לדאוג להבאת יקירם לקבורה, לסדרי הלוויה ולהתארגנות לקראת ימי האבלות, כל זאת בהקדם האפשרי.</w:t>
      </w:r>
      <w:r w:rsidRPr="00823F03">
        <w:rPr>
          <w:rtl/>
        </w:rPr>
        <w:t xml:space="preserve"> </w:t>
      </w:r>
      <w:r w:rsidR="00CA0063" w:rsidRPr="00823F03">
        <w:rPr>
          <w:rFonts w:hint="cs"/>
          <w:rtl/>
        </w:rPr>
        <w:t>לעתים קרובות</w:t>
      </w:r>
      <w:r w:rsidRPr="00823F03">
        <w:rPr>
          <w:rFonts w:hint="cs"/>
          <w:rtl/>
        </w:rPr>
        <w:t xml:space="preserve"> </w:t>
      </w:r>
      <w:r w:rsidRPr="00823F03">
        <w:rPr>
          <w:rtl/>
        </w:rPr>
        <w:t>נדרש</w:t>
      </w:r>
      <w:r w:rsidRPr="00823F03">
        <w:rPr>
          <w:rFonts w:hint="cs"/>
          <w:rtl/>
        </w:rPr>
        <w:t>ים יקירי הנפטר לקבל</w:t>
      </w:r>
      <w:r w:rsidRPr="00823F03">
        <w:rPr>
          <w:rtl/>
        </w:rPr>
        <w:t xml:space="preserve"> סדרה של החלטות</w:t>
      </w:r>
      <w:r w:rsidRPr="00823F03">
        <w:rPr>
          <w:rFonts w:hint="cs"/>
          <w:rtl/>
        </w:rPr>
        <w:t xml:space="preserve"> חשובות</w:t>
      </w:r>
      <w:r w:rsidRPr="00823F03">
        <w:rPr>
          <w:rtl/>
        </w:rPr>
        <w:t xml:space="preserve"> בפרק זמן קצר מאד</w:t>
      </w:r>
      <w:r w:rsidRPr="00823F03">
        <w:rPr>
          <w:rFonts w:hint="cs"/>
          <w:rtl/>
        </w:rPr>
        <w:t>, כשאין בידיהם את כלל המידע הרלוונטי לקבלת ההחלטה, וכאשר הם נמצאים במצב נפשי רגיש. מצב זה עלול להשפיע על שיקול דעתם</w:t>
      </w:r>
      <w:r w:rsidRPr="00823F03">
        <w:rPr>
          <w:rtl/>
        </w:rPr>
        <w:t>.</w:t>
      </w:r>
    </w:p>
    <w:p w14:paraId="64B9EEC2" w14:textId="4B18813F" w:rsidR="0072286F" w:rsidRPr="00823F03" w:rsidRDefault="0072286F" w:rsidP="00770335">
      <w:pPr>
        <w:pStyle w:val="Hesber"/>
        <w:spacing w:after="0"/>
        <w:ind w:left="0" w:firstLine="340"/>
        <w:rPr>
          <w:rtl/>
        </w:rPr>
      </w:pPr>
      <w:r w:rsidRPr="00823F03">
        <w:rPr>
          <w:rFonts w:hint="cs"/>
          <w:rtl/>
        </w:rPr>
        <w:t xml:space="preserve">במצב החוקי הקיים, אדם זכאי להיקבר בחינם לאחר פטירתו. במקרים מסוימים רשאית חברת הקבורה לדרוש תשלום עבור רכישת קבר, וזאת כאשר אדם מבקש לרכוש עבור עצמו חלקת קבר בעודו בחיים, או שמשפחתו מבקשת לרכוש עבורו חלקת קבר בבית עלמין שלא במקום מגוריו, בבית עלמין סגור או בחלקה חריגה שעליה הכריז המוסד לביטוח לאומי ככזה שמותר לגבות בו תשלום עבור חלקת קבר. ואולם, בעוד שתעריפי רכישת קבר על ידי אדם בעודו בחיים קבועים בחוק, ביתר המקרים שבהן רשאיות חברות הקבורה לדרוש תשלום </w:t>
      </w:r>
      <w:r w:rsidRPr="00823F03">
        <w:rPr>
          <w:rtl/>
        </w:rPr>
        <w:t>–</w:t>
      </w:r>
      <w:r w:rsidRPr="00823F03">
        <w:rPr>
          <w:rFonts w:hint="cs"/>
          <w:rtl/>
        </w:rPr>
        <w:t xml:space="preserve"> החוק איננו מגביל את המחיר שאותו הן יכולות לדרוש, כך שחלקת קבר אחת יכולה להאמיר לסכום של למעלה ממאה אלף </w:t>
      </w:r>
      <w:r w:rsidR="00770335">
        <w:rPr>
          <w:rFonts w:hint="cs"/>
          <w:rtl/>
        </w:rPr>
        <w:t>שקלים חדשים</w:t>
      </w:r>
      <w:r w:rsidRPr="00823F03">
        <w:rPr>
          <w:rFonts w:hint="cs"/>
          <w:rtl/>
        </w:rPr>
        <w:t xml:space="preserve">. במציאות זו, </w:t>
      </w:r>
      <w:r w:rsidRPr="00823F03">
        <w:rPr>
          <w:rtl/>
        </w:rPr>
        <w:t xml:space="preserve">משפחתו של נפטר </w:t>
      </w:r>
      <w:r w:rsidRPr="00823F03">
        <w:rPr>
          <w:rFonts w:hint="cs"/>
          <w:rtl/>
        </w:rPr>
        <w:t xml:space="preserve">המבקשת לרכוש </w:t>
      </w:r>
      <w:r w:rsidR="001D1881" w:rsidRPr="00823F03">
        <w:rPr>
          <w:rFonts w:hint="cs"/>
          <w:rtl/>
        </w:rPr>
        <w:t xml:space="preserve">חלקת </w:t>
      </w:r>
      <w:r w:rsidRPr="00823F03">
        <w:rPr>
          <w:rFonts w:hint="cs"/>
          <w:rtl/>
        </w:rPr>
        <w:t>קבר לאחר פטירת יקירה</w:t>
      </w:r>
      <w:r w:rsidRPr="00823F03">
        <w:rPr>
          <w:rtl/>
        </w:rPr>
        <w:t xml:space="preserve"> </w:t>
      </w:r>
      <w:r w:rsidRPr="00823F03">
        <w:rPr>
          <w:rFonts w:hint="cs"/>
          <w:rtl/>
        </w:rPr>
        <w:t>נאלצת לנהל</w:t>
      </w:r>
      <w:r w:rsidRPr="00823F03">
        <w:rPr>
          <w:rtl/>
        </w:rPr>
        <w:t xml:space="preserve"> משא ומתן על מחירו של קבר ברגע הקשה ביותר</w:t>
      </w:r>
      <w:r w:rsidRPr="00823F03">
        <w:rPr>
          <w:rFonts w:hint="cs"/>
          <w:rtl/>
        </w:rPr>
        <w:t>. מצב זה, שבו כל המידע איננו חשוף למשפחת הנפטר, ובו אין כל חובה על חברות הקבורה לפרסם את כל מחירי הקבר בחלקות השונות, מקשה על יישום חובת שקיפות ושוויון בין רוכשי חלקות הקבורה.</w:t>
      </w:r>
    </w:p>
    <w:p w14:paraId="4C097E30" w14:textId="271ED102" w:rsidR="0072286F" w:rsidRPr="00823F03" w:rsidRDefault="0072286F" w:rsidP="00BD6FC5">
      <w:pPr>
        <w:pStyle w:val="Hesber"/>
        <w:spacing w:after="0"/>
        <w:ind w:left="0" w:firstLine="340"/>
        <w:rPr>
          <w:rtl/>
        </w:rPr>
      </w:pPr>
      <w:r w:rsidRPr="00823F03">
        <w:rPr>
          <w:rFonts w:hint="cs"/>
          <w:rtl/>
        </w:rPr>
        <w:t>מטרתה של הצעת חוק</w:t>
      </w:r>
      <w:r w:rsidR="003C67EB" w:rsidRPr="00823F03">
        <w:rPr>
          <w:rFonts w:hint="cs"/>
          <w:rtl/>
        </w:rPr>
        <w:t xml:space="preserve"> זו היא</w:t>
      </w:r>
      <w:r w:rsidRPr="00823F03">
        <w:rPr>
          <w:rFonts w:hint="cs"/>
          <w:rtl/>
        </w:rPr>
        <w:t xml:space="preserve"> </w:t>
      </w:r>
      <w:r w:rsidR="003C67EB" w:rsidRPr="00823F03">
        <w:rPr>
          <w:rFonts w:hint="cs"/>
          <w:rtl/>
        </w:rPr>
        <w:t>להביא לכך ש</w:t>
      </w:r>
      <w:r w:rsidRPr="00823F03">
        <w:rPr>
          <w:rtl/>
        </w:rPr>
        <w:t xml:space="preserve">כל חברות הקבורה </w:t>
      </w:r>
      <w:r w:rsidR="003C67EB" w:rsidRPr="00823F03">
        <w:rPr>
          <w:rFonts w:hint="cs"/>
          <w:rtl/>
        </w:rPr>
        <w:t xml:space="preserve">תפעלנה </w:t>
      </w:r>
      <w:r w:rsidRPr="00823F03">
        <w:rPr>
          <w:rtl/>
        </w:rPr>
        <w:t>לקב</w:t>
      </w:r>
      <w:r w:rsidRPr="00823F03">
        <w:rPr>
          <w:rFonts w:hint="cs"/>
          <w:rtl/>
        </w:rPr>
        <w:t xml:space="preserve">יעת </w:t>
      </w:r>
      <w:r w:rsidRPr="00823F03">
        <w:rPr>
          <w:rtl/>
        </w:rPr>
        <w:t>מחירון של חלקות הקבורה שברשות</w:t>
      </w:r>
      <w:r w:rsidR="003C67EB" w:rsidRPr="00823F03">
        <w:rPr>
          <w:rFonts w:hint="cs"/>
          <w:rtl/>
        </w:rPr>
        <w:t>ן</w:t>
      </w:r>
      <w:r w:rsidRPr="00823F03">
        <w:rPr>
          <w:rtl/>
        </w:rPr>
        <w:t xml:space="preserve">, </w:t>
      </w:r>
      <w:r w:rsidR="003C67EB" w:rsidRPr="00823F03">
        <w:rPr>
          <w:rFonts w:hint="cs"/>
          <w:rtl/>
        </w:rPr>
        <w:t xml:space="preserve">ושאלו יפורסמו </w:t>
      </w:r>
      <w:r w:rsidRPr="00823F03">
        <w:rPr>
          <w:rtl/>
        </w:rPr>
        <w:t>במשרדיה</w:t>
      </w:r>
      <w:r w:rsidR="003C67EB" w:rsidRPr="00823F03">
        <w:rPr>
          <w:rFonts w:hint="cs"/>
          <w:rtl/>
        </w:rPr>
        <w:t>ן</w:t>
      </w:r>
      <w:r w:rsidRPr="00823F03">
        <w:rPr>
          <w:rtl/>
        </w:rPr>
        <w:t xml:space="preserve"> ובאתר האינטרנט של המשרד לשירותי דת.</w:t>
      </w:r>
      <w:r w:rsidRPr="00823F03">
        <w:rPr>
          <w:rFonts w:hint="cs"/>
          <w:rtl/>
        </w:rPr>
        <w:t xml:space="preserve"> </w:t>
      </w:r>
      <w:r w:rsidR="004E6E17" w:rsidRPr="00823F03">
        <w:rPr>
          <w:rFonts w:hint="cs"/>
          <w:rtl/>
        </w:rPr>
        <w:t xml:space="preserve">מהלך </w:t>
      </w:r>
      <w:r w:rsidRPr="00823F03">
        <w:rPr>
          <w:rFonts w:hint="cs"/>
          <w:rtl/>
        </w:rPr>
        <w:t>זה יגביר את השקיפות בכל הנוגע להליך רכישת הקבר ויסייע למשפחת הנפטר ויקיריו לקבל החלטה בצורה מושכלת.</w:t>
      </w:r>
    </w:p>
    <w:p w14:paraId="233ADEFE" w14:textId="1097BB23" w:rsidR="0072286F" w:rsidRPr="00823F03" w:rsidRDefault="0072286F" w:rsidP="00770335">
      <w:pPr>
        <w:pStyle w:val="Hesber"/>
        <w:spacing w:after="0"/>
        <w:ind w:left="0" w:firstLine="340"/>
        <w:rPr>
          <w:rtl/>
        </w:rPr>
      </w:pPr>
      <w:r w:rsidRPr="00823F03">
        <w:rPr>
          <w:rFonts w:hint="cs"/>
          <w:rtl/>
        </w:rPr>
        <w:t>יש לציין כי חלק מהסעיפים המוצעים בהצעת חוק זו מופיעים כיום בנהלי המשרד לשירותי דת, במסמך "</w:t>
      </w:r>
      <w:r w:rsidRPr="00823F03">
        <w:rPr>
          <w:rtl/>
        </w:rPr>
        <w:t>תנאי רישיון לחברה לענייני קבורה</w:t>
      </w:r>
      <w:r w:rsidRPr="00823F03">
        <w:rPr>
          <w:rFonts w:hint="cs"/>
          <w:rtl/>
        </w:rPr>
        <w:t xml:space="preserve">, </w:t>
      </w:r>
      <w:r w:rsidRPr="00823F03">
        <w:rPr>
          <w:rtl/>
        </w:rPr>
        <w:t xml:space="preserve">לפי תקנות שירותי הדת היהודיים (חברות לענייני קבורה), </w:t>
      </w:r>
      <w:proofErr w:type="spellStart"/>
      <w:r w:rsidRPr="00823F03">
        <w:rPr>
          <w:rtl/>
        </w:rPr>
        <w:t>התשכ"ז</w:t>
      </w:r>
      <w:proofErr w:type="spellEnd"/>
      <w:r w:rsidR="00770335">
        <w:rPr>
          <w:rFonts w:hint="cs"/>
          <w:rtl/>
        </w:rPr>
        <w:t>–</w:t>
      </w:r>
      <w:r w:rsidRPr="00823F03">
        <w:rPr>
          <w:rtl/>
        </w:rPr>
        <w:t xml:space="preserve"> 1966</w:t>
      </w:r>
      <w:r w:rsidRPr="00823F03">
        <w:rPr>
          <w:rFonts w:hint="cs"/>
          <w:rtl/>
        </w:rPr>
        <w:t xml:space="preserve">". על אף שהדברים הללו קבועים בנהלים, רבות מחברות הקבורה אינן קובעות תעריפים לכל סוגי הקבורה אותם היא מבצעת, וכל שכן אינן מפרסמות אותם. יתרה מזו, נהלים אלו קובעים את </w:t>
      </w:r>
      <w:r w:rsidRPr="00823F03">
        <w:rPr>
          <w:rFonts w:hint="cs"/>
          <w:rtl/>
        </w:rPr>
        <w:lastRenderedPageBreak/>
        <w:t xml:space="preserve">התנאים לקבלת רישיון קבורה, בזמן שכיום, </w:t>
      </w:r>
      <w:r w:rsidR="0037320C" w:rsidRPr="00823F03">
        <w:rPr>
          <w:rFonts w:hint="cs"/>
          <w:rtl/>
        </w:rPr>
        <w:t xml:space="preserve">מוערך כי </w:t>
      </w:r>
      <w:r w:rsidRPr="00823F03">
        <w:rPr>
          <w:rFonts w:hint="cs"/>
          <w:rtl/>
        </w:rPr>
        <w:t>כשליש מחברות הקבורה פועלות ללא רישיון תקף כלל. כמו כן, גם כאשר מדובר בחברות קבורה בעלות רישיון תקף, סמכויות האכיפה שמעניק החוק למשרד לשירותי דת מצומצמות.</w:t>
      </w:r>
    </w:p>
    <w:p w14:paraId="24896ACD" w14:textId="4418CC61" w:rsidR="0072286F" w:rsidRPr="00823F03" w:rsidRDefault="0072286F" w:rsidP="00823F03">
      <w:pPr>
        <w:pStyle w:val="Hesber"/>
        <w:spacing w:after="0"/>
        <w:ind w:left="0" w:firstLine="340"/>
        <w:rPr>
          <w:rtl/>
        </w:rPr>
      </w:pPr>
      <w:r w:rsidRPr="00823F03">
        <w:rPr>
          <w:rFonts w:hint="cs"/>
          <w:rtl/>
        </w:rPr>
        <w:t>לצד קביעת המחירון ופרסומו במשרדי החברה, הצעת החוק כוללת גם פרסום באינטרנט ומנגנון שימנע מחברת הקבורה לקבוע מחירים מחדש בכל יום או בכל עסקה, באמצעות הדרישה להגיש את רשימת המחירים לשר לשירותי דת. בעידן הנוכחי, כאשר האפשרות לערוך סקרי שוק והשוואת מחירים עבור כמעט כל מוצר זמינה לכל באמצעות האינטרנט, הגיעה העת לאפשר זאת גם לגבי רכישת קבר שנעשית, כאמור, ברגעים קשים ביותר לאדם.</w:t>
      </w:r>
    </w:p>
    <w:p w14:paraId="46D2FA9C" w14:textId="77777777" w:rsidR="0072286F" w:rsidRDefault="0072286F" w:rsidP="00823F03">
      <w:pPr>
        <w:pStyle w:val="Hesber"/>
        <w:spacing w:after="0"/>
        <w:ind w:left="0" w:firstLine="340"/>
        <w:rPr>
          <w:rtl/>
        </w:rPr>
      </w:pPr>
      <w:r w:rsidRPr="00823F03">
        <w:rPr>
          <w:rtl/>
        </w:rPr>
        <w:t>הצעת החוק נוסחה בשיתוף עם עמותת 'עתים'</w:t>
      </w:r>
      <w:r w:rsidRPr="00823F03">
        <w:rPr>
          <w:rFonts w:hint="cs"/>
          <w:rtl/>
        </w:rPr>
        <w:t>.</w:t>
      </w:r>
    </w:p>
    <w:p w14:paraId="27F2F3ED" w14:textId="77777777" w:rsidR="00770335" w:rsidRDefault="00770335" w:rsidP="00823F03">
      <w:pPr>
        <w:pStyle w:val="Hesber"/>
        <w:spacing w:after="0"/>
        <w:ind w:left="0" w:firstLine="340"/>
        <w:rPr>
          <w:rtl/>
        </w:rPr>
      </w:pPr>
    </w:p>
    <w:p w14:paraId="2D1AF204" w14:textId="77777777" w:rsidR="00770335" w:rsidRPr="003C5528" w:rsidRDefault="00770335" w:rsidP="00770335">
      <w:pPr>
        <w:pStyle w:val="Hesber"/>
        <w:rPr>
          <w:rtl/>
        </w:rPr>
      </w:pPr>
      <w:r w:rsidRPr="003C5528">
        <w:rPr>
          <w:rtl/>
        </w:rPr>
        <w:t>---------------------------------</w:t>
      </w:r>
    </w:p>
    <w:p w14:paraId="7DC33C3F" w14:textId="77777777" w:rsidR="00770335" w:rsidRPr="003C5528" w:rsidRDefault="00770335" w:rsidP="00770335">
      <w:pPr>
        <w:pStyle w:val="Hesber"/>
        <w:rPr>
          <w:rtl/>
        </w:rPr>
      </w:pPr>
      <w:r w:rsidRPr="003C5528">
        <w:rPr>
          <w:rFonts w:hint="cs"/>
          <w:rtl/>
        </w:rPr>
        <w:t>הוגשה</w:t>
      </w:r>
      <w:r w:rsidRPr="003C5528">
        <w:rPr>
          <w:rtl/>
        </w:rPr>
        <w:t xml:space="preserve"> </w:t>
      </w:r>
      <w:r w:rsidRPr="003C5528">
        <w:rPr>
          <w:rFonts w:hint="cs"/>
          <w:rtl/>
        </w:rPr>
        <w:t>ליו</w:t>
      </w:r>
      <w:r w:rsidRPr="003C5528">
        <w:rPr>
          <w:rtl/>
        </w:rPr>
        <w:t>"</w:t>
      </w:r>
      <w:r w:rsidRPr="003C5528">
        <w:rPr>
          <w:rFonts w:hint="cs"/>
          <w:rtl/>
        </w:rPr>
        <w:t>ר</w:t>
      </w:r>
      <w:r w:rsidRPr="003C5528">
        <w:rPr>
          <w:rtl/>
        </w:rPr>
        <w:t xml:space="preserve"> </w:t>
      </w:r>
      <w:r w:rsidRPr="003C5528">
        <w:rPr>
          <w:rFonts w:hint="cs"/>
          <w:rtl/>
        </w:rPr>
        <w:t>הכנסת</w:t>
      </w:r>
      <w:r w:rsidRPr="003C5528">
        <w:rPr>
          <w:rtl/>
        </w:rPr>
        <w:t xml:space="preserve"> </w:t>
      </w:r>
      <w:r w:rsidRPr="003C5528">
        <w:rPr>
          <w:rFonts w:hint="cs"/>
          <w:rtl/>
        </w:rPr>
        <w:t>והסגנים</w:t>
      </w:r>
    </w:p>
    <w:p w14:paraId="45EB30F3" w14:textId="77777777" w:rsidR="00770335" w:rsidRPr="003C5528" w:rsidRDefault="00770335" w:rsidP="00770335">
      <w:pPr>
        <w:pStyle w:val="Hesber"/>
        <w:rPr>
          <w:rtl/>
        </w:rPr>
      </w:pPr>
      <w:r w:rsidRPr="003C5528">
        <w:rPr>
          <w:rFonts w:hint="cs"/>
          <w:rtl/>
        </w:rPr>
        <w:t>והונחה</w:t>
      </w:r>
      <w:r w:rsidRPr="003C5528">
        <w:rPr>
          <w:rtl/>
        </w:rPr>
        <w:t xml:space="preserve"> </w:t>
      </w:r>
      <w:r w:rsidRPr="003C5528">
        <w:rPr>
          <w:rFonts w:hint="cs"/>
          <w:rtl/>
        </w:rPr>
        <w:t>על</w:t>
      </w:r>
      <w:r w:rsidRPr="003C5528">
        <w:rPr>
          <w:rtl/>
        </w:rPr>
        <w:t xml:space="preserve"> </w:t>
      </w:r>
      <w:r w:rsidRPr="003C5528">
        <w:rPr>
          <w:rFonts w:hint="cs"/>
          <w:rtl/>
        </w:rPr>
        <w:t>שולחן</w:t>
      </w:r>
      <w:r w:rsidRPr="003C5528">
        <w:rPr>
          <w:rtl/>
        </w:rPr>
        <w:t xml:space="preserve"> </w:t>
      </w:r>
      <w:r w:rsidRPr="003C5528">
        <w:rPr>
          <w:rFonts w:hint="cs"/>
          <w:rtl/>
        </w:rPr>
        <w:t>הכנסת</w:t>
      </w:r>
      <w:r w:rsidRPr="003C5528">
        <w:rPr>
          <w:rtl/>
        </w:rPr>
        <w:t xml:space="preserve"> </w:t>
      </w:r>
      <w:r w:rsidRPr="003C5528">
        <w:rPr>
          <w:rFonts w:hint="cs"/>
          <w:rtl/>
        </w:rPr>
        <w:t>ביום</w:t>
      </w:r>
    </w:p>
    <w:p w14:paraId="6AC1C20D" w14:textId="77777777" w:rsidR="00770335" w:rsidRPr="008B79B0" w:rsidRDefault="00770335" w:rsidP="00770335">
      <w:pPr>
        <w:pStyle w:val="Hesber"/>
        <w:rPr>
          <w:rtl/>
        </w:rPr>
      </w:pPr>
      <w:r>
        <w:rPr>
          <w:rFonts w:hint="cs"/>
          <w:rtl/>
        </w:rPr>
        <w:t>כ"ז באדר</w:t>
      </w:r>
      <w:r w:rsidRPr="003C5528">
        <w:rPr>
          <w:rtl/>
        </w:rPr>
        <w:t xml:space="preserve"> </w:t>
      </w:r>
      <w:proofErr w:type="spellStart"/>
      <w:r w:rsidRPr="003C5528">
        <w:rPr>
          <w:rFonts w:hint="cs"/>
          <w:rtl/>
        </w:rPr>
        <w:t>התשע</w:t>
      </w:r>
      <w:r w:rsidRPr="003C5528">
        <w:rPr>
          <w:rtl/>
        </w:rPr>
        <w:t>"</w:t>
      </w:r>
      <w:r>
        <w:rPr>
          <w:rFonts w:hint="cs"/>
          <w:rtl/>
        </w:rPr>
        <w:t>ח</w:t>
      </w:r>
      <w:proofErr w:type="spellEnd"/>
      <w:r w:rsidRPr="003C5528">
        <w:rPr>
          <w:rtl/>
        </w:rPr>
        <w:t xml:space="preserve"> – </w:t>
      </w:r>
      <w:r>
        <w:rPr>
          <w:rFonts w:hint="cs"/>
          <w:rtl/>
        </w:rPr>
        <w:t>14.3.2018</w:t>
      </w:r>
    </w:p>
    <w:p w14:paraId="2E848624" w14:textId="77777777" w:rsidR="00770335" w:rsidRPr="00823F03" w:rsidRDefault="00770335" w:rsidP="00823F03">
      <w:pPr>
        <w:pStyle w:val="Hesber"/>
        <w:spacing w:after="0"/>
        <w:ind w:left="0" w:firstLine="340"/>
        <w:rPr>
          <w:rtl/>
        </w:rPr>
      </w:pPr>
      <w:bookmarkStart w:id="7" w:name="_GoBack"/>
      <w:bookmarkEnd w:id="7"/>
    </w:p>
    <w:p w14:paraId="7F6961CB" w14:textId="77777777" w:rsidR="00E13C27" w:rsidRPr="00823F03" w:rsidRDefault="00E13C27" w:rsidP="00823F03">
      <w:pPr>
        <w:pStyle w:val="Hesber"/>
        <w:spacing w:after="0"/>
        <w:ind w:left="0" w:firstLine="340"/>
        <w:rPr>
          <w:rtl/>
        </w:rPr>
      </w:pPr>
    </w:p>
    <w:sectPr w:rsidR="00E13C27" w:rsidRPr="00823F03" w:rsidSect="00823F03">
      <w:footerReference w:type="even" r:id="rId11"/>
      <w:footerReference w:type="default" r:id="rId12"/>
      <w:pgSz w:w="11907" w:h="16840" w:code="9"/>
      <w:pgMar w:top="1134" w:right="1134" w:bottom="1134" w:left="1134" w:header="680" w:footer="680" w:gutter="0"/>
      <w:cols w:space="720"/>
      <w:noEndnote/>
      <w:titlePg/>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88A69" w14:textId="77777777" w:rsidR="00A942C1" w:rsidRDefault="00A942C1">
      <w:r>
        <w:separator/>
      </w:r>
    </w:p>
  </w:endnote>
  <w:endnote w:type="continuationSeparator" w:id="0">
    <w:p w14:paraId="318F26FB" w14:textId="77777777" w:rsidR="00A942C1" w:rsidRDefault="00A942C1">
      <w:r>
        <w:continuationSeparator/>
      </w:r>
    </w:p>
  </w:endnote>
  <w:endnote w:type="continuationNotice" w:id="1">
    <w:p w14:paraId="6BE48FD5" w14:textId="77777777" w:rsidR="00A942C1" w:rsidRDefault="00A942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14:paraId="7F6961D6" w14:textId="77777777" w:rsidR="002C3041" w:rsidRDefault="002C304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770335">
      <w:rPr>
        <w:rStyle w:val="aa"/>
        <w:noProof/>
        <w:rtl/>
      </w:rPr>
      <w:t>3</w:t>
    </w:r>
    <w:r>
      <w:rPr>
        <w:rStyle w:val="aa"/>
        <w:rtl/>
      </w:rPr>
      <w:fldChar w:fldCharType="end"/>
    </w:r>
  </w:p>
  <w:p w14:paraId="7F6961D8" w14:textId="77777777" w:rsidR="002C3041" w:rsidRDefault="002C30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7B9F2" w14:textId="77777777" w:rsidR="00A942C1" w:rsidRDefault="00A942C1">
      <w:r>
        <w:separator/>
      </w:r>
    </w:p>
  </w:footnote>
  <w:footnote w:type="continuationSeparator" w:id="0">
    <w:p w14:paraId="3DB92342" w14:textId="77777777" w:rsidR="00A942C1" w:rsidRDefault="00A942C1">
      <w:r>
        <w:continuationSeparator/>
      </w:r>
    </w:p>
  </w:footnote>
  <w:footnote w:type="continuationNotice" w:id="1">
    <w:p w14:paraId="16009878" w14:textId="77777777" w:rsidR="00A942C1" w:rsidRDefault="00A942C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A641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C67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9A80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F06F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6640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5678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6C2E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36B9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02A4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82B7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B366D6"/>
    <w:multiLevelType w:val="hybridMultilevel"/>
    <w:tmpl w:val="65B8BBF8"/>
    <w:lvl w:ilvl="0" w:tplc="4056B216">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1"/>
  </w:num>
  <w:num w:numId="14">
    <w:abstractNumId w:val="15"/>
  </w:num>
  <w:num w:numId="15">
    <w:abstractNumId w:val="13"/>
  </w:num>
  <w:num w:numId="16">
    <w:abstractNumId w:val="13"/>
    <w:lvlOverride w:ilvl="0">
      <w:startOverride w:val="1"/>
    </w:lvlOverride>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482240lsCopyOriginal.docx"/>
    <w:docVar w:name="StartMode" w:val="2"/>
  </w:docVars>
  <w:rsids>
    <w:rsidRoot w:val="00DB7060"/>
    <w:rsid w:val="0000131B"/>
    <w:rsid w:val="00015B27"/>
    <w:rsid w:val="00045F4D"/>
    <w:rsid w:val="00063A3E"/>
    <w:rsid w:val="00072CAC"/>
    <w:rsid w:val="0007681A"/>
    <w:rsid w:val="000A542E"/>
    <w:rsid w:val="000B5BF5"/>
    <w:rsid w:val="000B62AC"/>
    <w:rsid w:val="000B7B03"/>
    <w:rsid w:val="00102B6B"/>
    <w:rsid w:val="001052D4"/>
    <w:rsid w:val="0010644B"/>
    <w:rsid w:val="001207F8"/>
    <w:rsid w:val="00121924"/>
    <w:rsid w:val="001279A8"/>
    <w:rsid w:val="0014195F"/>
    <w:rsid w:val="00152609"/>
    <w:rsid w:val="00153E1B"/>
    <w:rsid w:val="001635CE"/>
    <w:rsid w:val="00186028"/>
    <w:rsid w:val="00193B4B"/>
    <w:rsid w:val="001A0623"/>
    <w:rsid w:val="001C23B0"/>
    <w:rsid w:val="001D1881"/>
    <w:rsid w:val="001D7AAF"/>
    <w:rsid w:val="001F3541"/>
    <w:rsid w:val="00203A7F"/>
    <w:rsid w:val="0021633A"/>
    <w:rsid w:val="002200A1"/>
    <w:rsid w:val="00223FE7"/>
    <w:rsid w:val="00227624"/>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E4349"/>
    <w:rsid w:val="002F1D80"/>
    <w:rsid w:val="0032286D"/>
    <w:rsid w:val="003232A2"/>
    <w:rsid w:val="00325C14"/>
    <w:rsid w:val="00344EEA"/>
    <w:rsid w:val="00354B1C"/>
    <w:rsid w:val="0036422C"/>
    <w:rsid w:val="003710F6"/>
    <w:rsid w:val="0037320C"/>
    <w:rsid w:val="00386E88"/>
    <w:rsid w:val="00396585"/>
    <w:rsid w:val="003C67EB"/>
    <w:rsid w:val="003D6E38"/>
    <w:rsid w:val="003D74A0"/>
    <w:rsid w:val="003E4A55"/>
    <w:rsid w:val="004033D8"/>
    <w:rsid w:val="004073F0"/>
    <w:rsid w:val="00412A7D"/>
    <w:rsid w:val="00416B4D"/>
    <w:rsid w:val="00417CFC"/>
    <w:rsid w:val="004A06DC"/>
    <w:rsid w:val="004B24ED"/>
    <w:rsid w:val="004B6625"/>
    <w:rsid w:val="004C694D"/>
    <w:rsid w:val="004D2D82"/>
    <w:rsid w:val="004D3876"/>
    <w:rsid w:val="004E4552"/>
    <w:rsid w:val="004E6CDF"/>
    <w:rsid w:val="004E6E17"/>
    <w:rsid w:val="004F23E4"/>
    <w:rsid w:val="004F6EC6"/>
    <w:rsid w:val="00553C9D"/>
    <w:rsid w:val="00562A66"/>
    <w:rsid w:val="005B064E"/>
    <w:rsid w:val="005C5161"/>
    <w:rsid w:val="005D51AE"/>
    <w:rsid w:val="0062674B"/>
    <w:rsid w:val="006363B2"/>
    <w:rsid w:val="00644208"/>
    <w:rsid w:val="00644940"/>
    <w:rsid w:val="00674B5B"/>
    <w:rsid w:val="006818A9"/>
    <w:rsid w:val="00681B3A"/>
    <w:rsid w:val="006A2D81"/>
    <w:rsid w:val="006C1D0D"/>
    <w:rsid w:val="006C591D"/>
    <w:rsid w:val="0070565C"/>
    <w:rsid w:val="0070601E"/>
    <w:rsid w:val="00712C72"/>
    <w:rsid w:val="0071317B"/>
    <w:rsid w:val="0072286F"/>
    <w:rsid w:val="00735FE9"/>
    <w:rsid w:val="00763CAA"/>
    <w:rsid w:val="007652A8"/>
    <w:rsid w:val="00765F66"/>
    <w:rsid w:val="00770335"/>
    <w:rsid w:val="0078664F"/>
    <w:rsid w:val="007A115D"/>
    <w:rsid w:val="007C3FA6"/>
    <w:rsid w:val="007D585A"/>
    <w:rsid w:val="007D5A12"/>
    <w:rsid w:val="007E59F9"/>
    <w:rsid w:val="00810BCD"/>
    <w:rsid w:val="00812C98"/>
    <w:rsid w:val="00814D92"/>
    <w:rsid w:val="00815937"/>
    <w:rsid w:val="00823F03"/>
    <w:rsid w:val="0083181D"/>
    <w:rsid w:val="00843EB2"/>
    <w:rsid w:val="00865572"/>
    <w:rsid w:val="00874BBC"/>
    <w:rsid w:val="00892135"/>
    <w:rsid w:val="008932A7"/>
    <w:rsid w:val="00895449"/>
    <w:rsid w:val="00897879"/>
    <w:rsid w:val="008A6870"/>
    <w:rsid w:val="008B2AD7"/>
    <w:rsid w:val="008C2DDC"/>
    <w:rsid w:val="008C7516"/>
    <w:rsid w:val="008D742D"/>
    <w:rsid w:val="008E177E"/>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38A5"/>
    <w:rsid w:val="009A7257"/>
    <w:rsid w:val="009B75D5"/>
    <w:rsid w:val="009D6E0A"/>
    <w:rsid w:val="009E1E33"/>
    <w:rsid w:val="009F42CA"/>
    <w:rsid w:val="00A14672"/>
    <w:rsid w:val="00A26BD6"/>
    <w:rsid w:val="00A314FF"/>
    <w:rsid w:val="00A31FFE"/>
    <w:rsid w:val="00A443CF"/>
    <w:rsid w:val="00A6611D"/>
    <w:rsid w:val="00A82CB7"/>
    <w:rsid w:val="00A942C1"/>
    <w:rsid w:val="00AA2F03"/>
    <w:rsid w:val="00AC36F7"/>
    <w:rsid w:val="00AC63A4"/>
    <w:rsid w:val="00AD239E"/>
    <w:rsid w:val="00AD5DF0"/>
    <w:rsid w:val="00B10265"/>
    <w:rsid w:val="00B13592"/>
    <w:rsid w:val="00B16A99"/>
    <w:rsid w:val="00B21211"/>
    <w:rsid w:val="00B35784"/>
    <w:rsid w:val="00B44057"/>
    <w:rsid w:val="00B65415"/>
    <w:rsid w:val="00B733A7"/>
    <w:rsid w:val="00B75C91"/>
    <w:rsid w:val="00B975AD"/>
    <w:rsid w:val="00BC45FB"/>
    <w:rsid w:val="00BD6FC5"/>
    <w:rsid w:val="00BF148D"/>
    <w:rsid w:val="00BF32DF"/>
    <w:rsid w:val="00C23B1A"/>
    <w:rsid w:val="00C310EB"/>
    <w:rsid w:val="00C4141D"/>
    <w:rsid w:val="00C9176A"/>
    <w:rsid w:val="00CA0063"/>
    <w:rsid w:val="00CF1AA2"/>
    <w:rsid w:val="00D02F5E"/>
    <w:rsid w:val="00D17774"/>
    <w:rsid w:val="00D37275"/>
    <w:rsid w:val="00D63620"/>
    <w:rsid w:val="00D640B9"/>
    <w:rsid w:val="00D8410D"/>
    <w:rsid w:val="00D867D7"/>
    <w:rsid w:val="00D909B9"/>
    <w:rsid w:val="00DB36D4"/>
    <w:rsid w:val="00DB7060"/>
    <w:rsid w:val="00DE3153"/>
    <w:rsid w:val="00DE341D"/>
    <w:rsid w:val="00E06736"/>
    <w:rsid w:val="00E13C27"/>
    <w:rsid w:val="00E33BBD"/>
    <w:rsid w:val="00E374F2"/>
    <w:rsid w:val="00E45103"/>
    <w:rsid w:val="00E51E02"/>
    <w:rsid w:val="00E55A60"/>
    <w:rsid w:val="00E62778"/>
    <w:rsid w:val="00E63D38"/>
    <w:rsid w:val="00E665B9"/>
    <w:rsid w:val="00EA01E6"/>
    <w:rsid w:val="00EA3DE8"/>
    <w:rsid w:val="00EA758F"/>
    <w:rsid w:val="00ED4A6F"/>
    <w:rsid w:val="00EF3A3A"/>
    <w:rsid w:val="00F609B5"/>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E7CC2A52-7C30-40EF-A06A-B08F5CE6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F03"/>
    <w:pPr>
      <w:widowControl w:val="0"/>
      <w:bidi/>
      <w:spacing w:after="160" w:line="360" w:lineRule="auto"/>
      <w:ind w:left="340"/>
      <w:contextualSpacing/>
      <w:jc w:val="both"/>
    </w:pPr>
    <w:rPr>
      <w:rFonts w:ascii="David" w:eastAsiaTheme="minorHAnsi" w:hAnsi="David" w:cs="David"/>
      <w:sz w:val="24"/>
      <w:szCs w:val="24"/>
    </w:rPr>
  </w:style>
  <w:style w:type="paragraph" w:styleId="1">
    <w:name w:val="heading 1"/>
    <w:basedOn w:val="a"/>
    <w:next w:val="a"/>
    <w:link w:val="10"/>
    <w:uiPriority w:val="9"/>
    <w:qFormat/>
    <w:rsid w:val="00823F03"/>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823F03"/>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823F03"/>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823F03"/>
    <w:pPr>
      <w:numPr>
        <w:numId w:val="16"/>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823F03"/>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823F03"/>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823F03"/>
    <w:rPr>
      <w:sz w:val="36"/>
      <w:szCs w:val="52"/>
    </w:rPr>
  </w:style>
  <w:style w:type="paragraph" w:customStyle="1" w:styleId="Cover3-Haknesset">
    <w:name w:val="Cover 3-Haknesset"/>
    <w:basedOn w:val="Cover1-Reshumot"/>
    <w:rsid w:val="00823F03"/>
    <w:rPr>
      <w:b/>
      <w:bCs/>
      <w:spacing w:val="60"/>
    </w:rPr>
  </w:style>
  <w:style w:type="paragraph" w:customStyle="1" w:styleId="Cover4-Date">
    <w:name w:val="Cover 4-Date"/>
    <w:basedOn w:val="a"/>
    <w:rsid w:val="00823F03"/>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823F03"/>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823F03"/>
    <w:pPr>
      <w:keepNext/>
      <w:keepLines/>
      <w:snapToGrid w:val="0"/>
      <w:spacing w:before="240"/>
      <w:jc w:val="center"/>
      <w:outlineLvl w:val="0"/>
    </w:pPr>
    <w:rPr>
      <w:rFonts w:ascii="Arial" w:eastAsia="Arial Unicode MS" w:hAnsi="Arial"/>
      <w:b/>
      <w:bCs/>
      <w:snapToGrid w:val="0"/>
      <w:sz w:val="20"/>
      <w:szCs w:val="26"/>
    </w:rPr>
  </w:style>
  <w:style w:type="paragraph" w:customStyle="1" w:styleId="HeadHatzaotHok4Futer">
    <w:name w:val="Head HatzaotHok4Futer"/>
    <w:basedOn w:val="HeadHatzaotHok"/>
    <w:rsid w:val="00823F03"/>
    <w:pPr>
      <w:spacing w:before="120" w:after="120"/>
    </w:pPr>
    <w:rPr>
      <w:color w:val="FF0000"/>
      <w:w w:val="80"/>
    </w:rPr>
  </w:style>
  <w:style w:type="paragraph" w:styleId="a3">
    <w:name w:val="endnote text"/>
    <w:basedOn w:val="a"/>
    <w:semiHidden/>
    <w:rsid w:val="00823F03"/>
    <w:pPr>
      <w:ind w:left="227" w:hanging="227"/>
    </w:pPr>
    <w:rPr>
      <w:sz w:val="14"/>
      <w:szCs w:val="22"/>
    </w:rPr>
  </w:style>
  <w:style w:type="paragraph" w:customStyle="1" w:styleId="TableText">
    <w:name w:val="Table Text"/>
    <w:basedOn w:val="a"/>
    <w:rsid w:val="00823F03"/>
    <w:pPr>
      <w:keepLines/>
      <w:tabs>
        <w:tab w:val="left" w:pos="624"/>
        <w:tab w:val="left" w:pos="1247"/>
      </w:tabs>
      <w:snapToGrid w:val="0"/>
      <w:spacing w:after="0"/>
      <w:ind w:left="0"/>
      <w:jc w:val="left"/>
    </w:pPr>
    <w:rPr>
      <w:rFonts w:ascii="Arial" w:eastAsia="Arial Unicode MS" w:hAnsi="Arial"/>
      <w:snapToGrid w:val="0"/>
      <w:sz w:val="20"/>
      <w:szCs w:val="26"/>
    </w:rPr>
  </w:style>
  <w:style w:type="paragraph" w:customStyle="1" w:styleId="TableSideHeading">
    <w:name w:val="Table SideHeading"/>
    <w:basedOn w:val="TableText"/>
    <w:rsid w:val="00823F03"/>
    <w:pPr>
      <w:outlineLvl w:val="2"/>
    </w:pPr>
  </w:style>
  <w:style w:type="paragraph" w:customStyle="1" w:styleId="TableBlock">
    <w:name w:val="Table Block"/>
    <w:basedOn w:val="TableText"/>
    <w:rsid w:val="00823F03"/>
    <w:pPr>
      <w:jc w:val="both"/>
    </w:pPr>
  </w:style>
  <w:style w:type="paragraph" w:customStyle="1" w:styleId="TableHead">
    <w:name w:val="Table Head"/>
    <w:basedOn w:val="TableText"/>
    <w:rsid w:val="00823F03"/>
    <w:pPr>
      <w:jc w:val="center"/>
      <w:outlineLvl w:val="1"/>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823F03"/>
    <w:pPr>
      <w:outlineLvl w:val="9"/>
    </w:pPr>
  </w:style>
  <w:style w:type="paragraph" w:customStyle="1" w:styleId="Hesber">
    <w:name w:val="Hesber"/>
    <w:basedOn w:val="a"/>
    <w:rsid w:val="00823F03"/>
    <w:pPr>
      <w:snapToGrid w:val="0"/>
    </w:pPr>
    <w:rPr>
      <w:rFonts w:ascii="Arial" w:eastAsia="Arial Unicode MS" w:hAnsi="Arial"/>
      <w:snapToGrid w:val="0"/>
      <w:sz w:val="20"/>
      <w:szCs w:val="26"/>
    </w:rPr>
  </w:style>
  <w:style w:type="paragraph" w:styleId="a4">
    <w:name w:val="footnote text"/>
    <w:basedOn w:val="a"/>
    <w:autoRedefine/>
    <w:semiHidden/>
    <w:rsid w:val="00823F03"/>
    <w:pPr>
      <w:snapToGrid w:val="0"/>
      <w:spacing w:line="240" w:lineRule="auto"/>
      <w:ind w:left="227" w:hanging="227"/>
      <w:jc w:val="left"/>
    </w:pPr>
    <w:rPr>
      <w:rFonts w:ascii="Arial" w:eastAsia="Arial Unicode MS" w:hAnsi="Arial"/>
      <w:snapToGrid w:val="0"/>
      <w:sz w:val="14"/>
      <w:szCs w:val="20"/>
    </w:rPr>
  </w:style>
  <w:style w:type="character" w:styleId="a5">
    <w:name w:val="footnote reference"/>
    <w:aliases w:val="Footnote Reference"/>
    <w:basedOn w:val="a0"/>
    <w:semiHidden/>
    <w:rsid w:val="00823F03"/>
    <w:rPr>
      <w:vertAlign w:val="superscript"/>
    </w:rPr>
  </w:style>
  <w:style w:type="paragraph" w:customStyle="1" w:styleId="HesberHeading">
    <w:name w:val="Hesber Heading"/>
    <w:basedOn w:val="Hesber"/>
    <w:rsid w:val="00823F03"/>
    <w:pPr>
      <w:tabs>
        <w:tab w:val="left" w:pos="624"/>
        <w:tab w:val="left" w:pos="1247"/>
      </w:tabs>
    </w:pPr>
    <w:rPr>
      <w:b/>
      <w:bCs/>
    </w:rPr>
  </w:style>
  <w:style w:type="paragraph" w:customStyle="1" w:styleId="HesberWriters">
    <w:name w:val="Hesber Writers"/>
    <w:basedOn w:val="Hesber"/>
    <w:rsid w:val="00823F03"/>
    <w:pPr>
      <w:spacing w:before="120" w:after="6000"/>
      <w:ind w:left="1418"/>
      <w:jc w:val="right"/>
    </w:pPr>
    <w:rPr>
      <w:b/>
      <w:bCs/>
    </w:rPr>
  </w:style>
  <w:style w:type="paragraph" w:customStyle="1" w:styleId="Hesber1st">
    <w:name w:val="Hesber 1st"/>
    <w:basedOn w:val="Hesber"/>
    <w:rsid w:val="00823F03"/>
    <w:pPr>
      <w:tabs>
        <w:tab w:val="left" w:pos="680"/>
        <w:tab w:val="left" w:pos="1020"/>
      </w:tabs>
      <w:ind w:left="0"/>
    </w:pPr>
  </w:style>
  <w:style w:type="character" w:styleId="a6">
    <w:name w:val="endnote reference"/>
    <w:basedOn w:val="a0"/>
    <w:semiHidden/>
    <w:rsid w:val="00823F03"/>
    <w:rPr>
      <w:vertAlign w:val="superscript"/>
    </w:rPr>
  </w:style>
  <w:style w:type="paragraph" w:customStyle="1" w:styleId="TableBlockOutdent">
    <w:name w:val="Table BlockOutdent"/>
    <w:basedOn w:val="TableBlock"/>
    <w:rsid w:val="00823F03"/>
    <w:pPr>
      <w:ind w:left="624" w:hanging="624"/>
    </w:pPr>
  </w:style>
  <w:style w:type="paragraph" w:styleId="a7">
    <w:name w:val="header"/>
    <w:basedOn w:val="a"/>
    <w:rsid w:val="00823F03"/>
    <w:pPr>
      <w:tabs>
        <w:tab w:val="center" w:pos="4153"/>
        <w:tab w:val="right" w:pos="8306"/>
      </w:tabs>
    </w:pPr>
  </w:style>
  <w:style w:type="paragraph" w:styleId="a8">
    <w:name w:val="footer"/>
    <w:basedOn w:val="a"/>
    <w:rsid w:val="00823F03"/>
    <w:pPr>
      <w:tabs>
        <w:tab w:val="center" w:pos="4153"/>
        <w:tab w:val="right" w:pos="8306"/>
      </w:tabs>
    </w:pPr>
  </w:style>
  <w:style w:type="paragraph" w:customStyle="1" w:styleId="HeadDivreiHesber">
    <w:name w:val="Head DivreiHesber"/>
    <w:basedOn w:val="a"/>
    <w:rsid w:val="00823F03"/>
    <w:pPr>
      <w:snapToGrid w:val="0"/>
      <w:spacing w:before="360" w:after="120"/>
      <w:jc w:val="center"/>
      <w:outlineLvl w:val="1"/>
    </w:pPr>
    <w:rPr>
      <w:rFonts w:ascii="Arial" w:eastAsia="Arial Unicode MS" w:hAnsi="Arial"/>
      <w:b/>
      <w:snapToGrid w:val="0"/>
      <w:spacing w:val="40"/>
      <w:sz w:val="20"/>
      <w:szCs w:val="26"/>
    </w:rPr>
  </w:style>
  <w:style w:type="paragraph" w:customStyle="1" w:styleId="Ragil">
    <w:name w:val="Ragil"/>
    <w:basedOn w:val="a"/>
    <w:rsid w:val="00823F03"/>
    <w:pPr>
      <w:snapToGrid w:val="0"/>
      <w:jc w:val="left"/>
    </w:pPr>
    <w:rPr>
      <w:rFonts w:ascii="Arial" w:eastAsia="Arial Unicode MS" w:hAnsi="Arial"/>
      <w:snapToGrid w:val="0"/>
      <w:sz w:val="20"/>
      <w:szCs w:val="26"/>
    </w:rPr>
  </w:style>
  <w:style w:type="paragraph" w:styleId="a9">
    <w:name w:val="Title"/>
    <w:basedOn w:val="a"/>
    <w:qFormat/>
    <w:rsid w:val="00943386"/>
    <w:pPr>
      <w:jc w:val="center"/>
    </w:pPr>
    <w:rPr>
      <w:b/>
      <w:bCs/>
      <w:sz w:val="28"/>
      <w:szCs w:val="28"/>
      <w:u w:val="single"/>
    </w:rPr>
  </w:style>
  <w:style w:type="character" w:styleId="aa">
    <w:name w:val="page number"/>
    <w:basedOn w:val="a0"/>
    <w:rsid w:val="00823F03"/>
  </w:style>
  <w:style w:type="paragraph" w:customStyle="1" w:styleId="David">
    <w:name w:val="רגיל + (עברית ושפות אחרות) David"/>
    <w:aliases w:val="‏13 נק',מודגש,אחרי:  6 נק'"/>
    <w:basedOn w:val="a"/>
    <w:rsid w:val="001207F8"/>
    <w:pPr>
      <w:jc w:val="left"/>
    </w:pPr>
    <w:rPr>
      <w:sz w:val="26"/>
      <w:szCs w:val="26"/>
    </w:rPr>
  </w:style>
  <w:style w:type="paragraph" w:styleId="ab">
    <w:name w:val="Balloon Text"/>
    <w:basedOn w:val="a"/>
    <w:link w:val="ac"/>
    <w:semiHidden/>
    <w:unhideWhenUsed/>
    <w:rsid w:val="00325C14"/>
    <w:pPr>
      <w:spacing w:line="240" w:lineRule="auto"/>
    </w:pPr>
    <w:rPr>
      <w:rFonts w:ascii="Tahoma" w:hAnsi="Tahoma" w:cs="Tahoma"/>
      <w:sz w:val="16"/>
      <w:szCs w:val="16"/>
    </w:rPr>
  </w:style>
  <w:style w:type="character" w:customStyle="1" w:styleId="ac">
    <w:name w:val="טקסט בלונים תו"/>
    <w:basedOn w:val="a0"/>
    <w:link w:val="ab"/>
    <w:semiHidden/>
    <w:rsid w:val="00325C14"/>
    <w:rPr>
      <w:rFonts w:ascii="Tahoma" w:hAnsi="Tahoma" w:cs="Tahoma"/>
      <w:color w:val="000000"/>
      <w:spacing w:val="1"/>
      <w:sz w:val="16"/>
      <w:szCs w:val="16"/>
      <w:lang w:eastAsia="ja-JP"/>
    </w:rPr>
  </w:style>
  <w:style w:type="character" w:customStyle="1" w:styleId="10">
    <w:name w:val="כותרת 1 תו"/>
    <w:basedOn w:val="a0"/>
    <w:link w:val="1"/>
    <w:uiPriority w:val="9"/>
    <w:rsid w:val="00823F03"/>
    <w:rPr>
      <w:rFonts w:asciiTheme="majorHAnsi" w:eastAsiaTheme="majorEastAsia" w:hAnsiTheme="majorHAnsi" w:cs="David"/>
      <w:bCs/>
      <w:sz w:val="32"/>
      <w:szCs w:val="36"/>
    </w:rPr>
  </w:style>
  <w:style w:type="character" w:customStyle="1" w:styleId="20">
    <w:name w:val="כותרת 2 תו"/>
    <w:basedOn w:val="a0"/>
    <w:link w:val="2"/>
    <w:rsid w:val="00823F03"/>
    <w:rPr>
      <w:rFonts w:asciiTheme="majorHAnsi" w:eastAsiaTheme="majorEastAsia" w:hAnsiTheme="majorHAnsi" w:cs="David"/>
      <w:bCs/>
      <w:sz w:val="26"/>
      <w:szCs w:val="36"/>
      <w:u w:val="single"/>
    </w:rPr>
  </w:style>
  <w:style w:type="character" w:customStyle="1" w:styleId="30">
    <w:name w:val="כותרת 3 תו"/>
    <w:basedOn w:val="a0"/>
    <w:link w:val="3"/>
    <w:rsid w:val="00823F03"/>
    <w:rPr>
      <w:rFonts w:asciiTheme="majorHAnsi" w:eastAsiaTheme="majorEastAsia" w:hAnsiTheme="majorHAnsi" w:cs="David"/>
      <w:sz w:val="24"/>
      <w:szCs w:val="28"/>
      <w:u w:val="double"/>
    </w:rPr>
  </w:style>
  <w:style w:type="character" w:customStyle="1" w:styleId="40">
    <w:name w:val="כותרת 4 תו"/>
    <w:basedOn w:val="a0"/>
    <w:link w:val="4"/>
    <w:uiPriority w:val="9"/>
    <w:rsid w:val="00823F03"/>
    <w:rPr>
      <w:rFonts w:ascii="David" w:eastAsiaTheme="minorHAnsi" w:hAnsi="David" w:cs="David"/>
      <w:b/>
      <w:bCs/>
      <w:color w:val="000000" w:themeColor="text1"/>
      <w:sz w:val="24"/>
      <w:szCs w:val="28"/>
    </w:rPr>
  </w:style>
  <w:style w:type="character" w:customStyle="1" w:styleId="50">
    <w:name w:val="כותרת 5 תו"/>
    <w:basedOn w:val="a0"/>
    <w:link w:val="5"/>
    <w:uiPriority w:val="9"/>
    <w:rsid w:val="00823F03"/>
    <w:rPr>
      <w:rFonts w:ascii="David" w:eastAsiaTheme="minorHAnsi" w:hAnsi="David" w:cs="David"/>
      <w:color w:val="000000" w:themeColor="text1"/>
      <w:sz w:val="24"/>
      <w:szCs w:val="24"/>
    </w:rPr>
  </w:style>
  <w:style w:type="paragraph" w:styleId="ad">
    <w:name w:val="TOC Heading"/>
    <w:basedOn w:val="1"/>
    <w:next w:val="a"/>
    <w:uiPriority w:val="39"/>
    <w:unhideWhenUsed/>
    <w:qFormat/>
    <w:rsid w:val="00823F03"/>
    <w:pPr>
      <w:widowControl/>
      <w:spacing w:before="120" w:after="120"/>
      <w:outlineLvl w:val="9"/>
    </w:pPr>
    <w:rPr>
      <w:rtl/>
      <w:cs/>
    </w:rPr>
  </w:style>
  <w:style w:type="paragraph" w:styleId="TOC1">
    <w:name w:val="toc 1"/>
    <w:basedOn w:val="a"/>
    <w:next w:val="a"/>
    <w:autoRedefine/>
    <w:uiPriority w:val="39"/>
    <w:unhideWhenUsed/>
    <w:rsid w:val="00823F03"/>
    <w:pPr>
      <w:tabs>
        <w:tab w:val="right" w:leader="dot" w:pos="9629"/>
      </w:tabs>
      <w:spacing w:after="100"/>
    </w:pPr>
    <w:rPr>
      <w:bCs/>
      <w:szCs w:val="22"/>
    </w:rPr>
  </w:style>
  <w:style w:type="paragraph" w:styleId="TOC2">
    <w:name w:val="toc 2"/>
    <w:basedOn w:val="a"/>
    <w:next w:val="a"/>
    <w:uiPriority w:val="39"/>
    <w:unhideWhenUsed/>
    <w:rsid w:val="00823F03"/>
    <w:pPr>
      <w:tabs>
        <w:tab w:val="right" w:leader="dot" w:pos="9628"/>
      </w:tabs>
      <w:spacing w:after="100"/>
    </w:pPr>
    <w:rPr>
      <w:szCs w:val="22"/>
    </w:rPr>
  </w:style>
  <w:style w:type="character" w:styleId="Hyperlink">
    <w:name w:val="Hyperlink"/>
    <w:basedOn w:val="a0"/>
    <w:uiPriority w:val="99"/>
    <w:unhideWhenUsed/>
    <w:rsid w:val="00823F03"/>
    <w:rPr>
      <w:color w:val="0000FF" w:themeColor="hyperlink"/>
      <w:u w:val="single"/>
    </w:rPr>
  </w:style>
  <w:style w:type="paragraph" w:styleId="TOC3">
    <w:name w:val="toc 3"/>
    <w:basedOn w:val="a"/>
    <w:next w:val="a"/>
    <w:uiPriority w:val="39"/>
    <w:unhideWhenUsed/>
    <w:rsid w:val="00823F03"/>
    <w:pPr>
      <w:tabs>
        <w:tab w:val="right" w:leader="dot" w:pos="9629"/>
      </w:tabs>
      <w:spacing w:after="100"/>
      <w:ind w:left="567"/>
    </w:pPr>
    <w:rPr>
      <w:szCs w:val="22"/>
    </w:rPr>
  </w:style>
  <w:style w:type="paragraph" w:styleId="TOC4">
    <w:name w:val="toc 4"/>
    <w:basedOn w:val="a"/>
    <w:next w:val="a"/>
    <w:autoRedefine/>
    <w:unhideWhenUsed/>
    <w:qFormat/>
    <w:rsid w:val="00823F03"/>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823F03"/>
    <w:pPr>
      <w:tabs>
        <w:tab w:val="right" w:leader="dot" w:pos="9628"/>
      </w:tabs>
      <w:spacing w:after="100"/>
      <w:ind w:left="567"/>
    </w:pPr>
    <w:rPr>
      <w:szCs w:val="22"/>
    </w:rPr>
  </w:style>
  <w:style w:type="paragraph" w:styleId="TOC6">
    <w:name w:val="toc 6"/>
    <w:basedOn w:val="a"/>
    <w:next w:val="a"/>
    <w:autoRedefine/>
    <w:semiHidden/>
    <w:unhideWhenUsed/>
    <w:rsid w:val="00823F03"/>
    <w:pPr>
      <w:spacing w:after="100"/>
      <w:ind w:left="850"/>
    </w:pPr>
  </w:style>
  <w:style w:type="paragraph" w:styleId="TOC7">
    <w:name w:val="toc 7"/>
    <w:basedOn w:val="a"/>
    <w:next w:val="a"/>
    <w:autoRedefine/>
    <w:semiHidden/>
    <w:unhideWhenUsed/>
    <w:rsid w:val="00823F03"/>
    <w:pPr>
      <w:spacing w:after="100"/>
      <w:ind w:left="1020"/>
    </w:pPr>
  </w:style>
  <w:style w:type="paragraph" w:styleId="TOC8">
    <w:name w:val="toc 8"/>
    <w:basedOn w:val="a"/>
    <w:next w:val="a"/>
    <w:autoRedefine/>
    <w:semiHidden/>
    <w:unhideWhenUsed/>
    <w:rsid w:val="00823F03"/>
    <w:pPr>
      <w:spacing w:after="100"/>
      <w:ind w:left="1190"/>
    </w:pPr>
  </w:style>
  <w:style w:type="paragraph" w:styleId="TOC9">
    <w:name w:val="toc 9"/>
    <w:basedOn w:val="a"/>
    <w:next w:val="a"/>
    <w:autoRedefine/>
    <w:semiHidden/>
    <w:unhideWhenUsed/>
    <w:rsid w:val="00823F03"/>
    <w:pPr>
      <w:spacing w:after="100"/>
      <w:ind w:left="1360"/>
    </w:pPr>
  </w:style>
  <w:style w:type="paragraph" w:customStyle="1" w:styleId="TableHead2">
    <w:name w:val="Table Head2"/>
    <w:basedOn w:val="TableHead"/>
    <w:qFormat/>
    <w:rsid w:val="00823F03"/>
    <w:pPr>
      <w:outlineLvl w:val="9"/>
    </w:pPr>
  </w:style>
  <w:style w:type="paragraph" w:customStyle="1" w:styleId="TableSideHeading2">
    <w:name w:val="Table SideHeading2"/>
    <w:basedOn w:val="TableSideHeading"/>
    <w:autoRedefine/>
    <w:qFormat/>
    <w:rsid w:val="00823F03"/>
    <w:pPr>
      <w:keepLines w:val="0"/>
      <w:outlineLvl w:val="9"/>
    </w:pPr>
  </w:style>
  <w:style w:type="paragraph" w:customStyle="1" w:styleId="0">
    <w:name w:val="סגנון שורה ראשונה:  0  ס''מ"/>
    <w:basedOn w:val="2"/>
    <w:rsid w:val="00823F03"/>
    <w:rPr>
      <w:rFonts w:eastAsia="Times New Roman"/>
    </w:rPr>
  </w:style>
  <w:style w:type="paragraph" w:styleId="ae">
    <w:name w:val="List Paragraph"/>
    <w:basedOn w:val="a"/>
    <w:uiPriority w:val="34"/>
    <w:qFormat/>
    <w:rsid w:val="00823F03"/>
    <w:pPr>
      <w:widowControl/>
      <w:spacing w:line="259" w:lineRule="auto"/>
    </w:pPr>
    <w:rPr>
      <w:rFonts w:asciiTheme="minorHAnsi" w:hAnsiTheme="minorHAnsi"/>
      <w:sz w:val="22"/>
    </w:rPr>
  </w:style>
  <w:style w:type="table" w:styleId="af">
    <w:name w:val="Table Grid"/>
    <w:basedOn w:val="a1"/>
    <w:rsid w:val="00823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823F0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823F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0">
    <w:name w:val="טבלת חקיקה"/>
    <w:basedOn w:val="a1"/>
    <w:uiPriority w:val="99"/>
    <w:rsid w:val="00823F03"/>
    <w:pPr>
      <w:jc w:val="center"/>
    </w:pPr>
    <w:rPr>
      <w:rFonts w:cstheme="minorBidi"/>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823F03"/>
    <w:tblPr/>
    <w:tblStylePr w:type="firstCol">
      <w:pPr>
        <w:keepNext w:val="0"/>
        <w:keepLines/>
        <w:pageBreakBefore w:val="0"/>
        <w:widowControl w:val="0"/>
        <w:suppressLineNumbers w:val="0"/>
        <w:suppressAutoHyphens w:val="0"/>
        <w:wordWrap/>
      </w:pPr>
    </w:tblStylePr>
  </w:style>
  <w:style w:type="character" w:customStyle="1" w:styleId="default">
    <w:name w:val="default"/>
    <w:rsid w:val="00D640B9"/>
    <w:rPr>
      <w:rFonts w:ascii="Times New Roman" w:hAnsi="Times New Roman" w:cs="Times New Roman" w:hint="default"/>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13027-6EB4-43E7-AA73-9A5CAE3C6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88F4AFE3-9455-419C-8851-785A55F4451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44D6A1F-CBF2-41A2-9EB0-03C93268F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1404</TotalTime>
  <Pages>4</Pages>
  <Words>775</Words>
  <Characters>3967</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תהל טהר לב</cp:lastModifiedBy>
  <cp:revision>60</cp:revision>
  <cp:lastPrinted>2013-07-04T08:25:00Z</cp:lastPrinted>
  <dcterms:created xsi:type="dcterms:W3CDTF">2015-04-20T09:58:00Z</dcterms:created>
  <dcterms:modified xsi:type="dcterms:W3CDTF">2018-03-13T12:38:00Z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2065886</vt:r8>
  </property>
</Properties>
</file>