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0" w:name="LGS_Internal_ID"/>
      <w:r>
        <w:rPr>
          <w:rFonts w:hint="cs"/>
          <w:b w:val="0"/>
          <w:bCs w:val="0"/>
          <w:szCs w:val="20"/>
          <w:rtl/>
        </w:rPr>
        <w:t>2016486</w:t>
      </w:r>
      <w:bookmarkEnd w:id="0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1" w:name="LGS_Knesset_Num"/>
      <w:r>
        <w:rPr>
          <w:rFonts w:hint="cs"/>
          <w:sz w:val="28"/>
          <w:szCs w:val="28"/>
          <w:rtl/>
        </w:rPr>
        <w:t>העשרים</w:t>
      </w:r>
      <w:bookmarkEnd w:id="1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930EFE">
      <w:pPr>
        <w:pStyle w:val="David"/>
        <w:spacing w:line="360" w:lineRule="auto"/>
        <w:ind w:left="3544"/>
        <w:rPr>
          <w:b/>
          <w:bCs/>
          <w:rtl/>
        </w:rPr>
      </w:pPr>
      <w:bookmarkStart w:id="2" w:name="LGS_Initiators_List"/>
      <w:r>
        <w:rPr>
          <w:b/>
          <w:bCs/>
          <w:rtl/>
        </w:rPr>
        <w:t>יוזמת:</w:t>
      </w:r>
      <w:r>
        <w:tab/>
      </w:r>
      <w:r>
        <w:rPr>
          <w:b/>
          <w:bCs/>
          <w:rtl/>
        </w:rPr>
        <w:t xml:space="preserve">      חברת הכנסת</w:t>
      </w:r>
      <w:bookmarkEnd w:id="2"/>
      <w:r w:rsidR="00B35784" w:rsidRPr="00F67051">
        <w:rPr>
          <w:b/>
          <w:bCs/>
        </w:rPr>
        <w:tab/>
      </w:r>
      <w:bookmarkStart w:id="3" w:name="LGS_PM_Names"/>
      <w:r>
        <w:rPr>
          <w:rFonts w:hint="cs"/>
          <w:b/>
          <w:bCs/>
          <w:rtl/>
        </w:rPr>
        <w:t>עליזה לביא</w:t>
      </w:r>
      <w:bookmarkEnd w:id="3"/>
    </w:p>
    <w:p w14:paraId="7F6961AA" w14:textId="39F9D96B" w:rsidR="00E13C27" w:rsidRPr="00CF1AA2" w:rsidRDefault="007D585A" w:rsidP="0036422C">
      <w:pPr>
        <w:pStyle w:val="David"/>
        <w:spacing w:before="0" w:line="360" w:lineRule="auto"/>
        <w:ind w:left="3544"/>
        <w:rPr>
          <w:b/>
          <w:bCs/>
          <w:sz w:val="16"/>
          <w:szCs w:val="16"/>
          <w:rtl/>
        </w:rPr>
      </w:pPr>
      <w:bookmarkStart w:id="4" w:name="LGS_Join_List"/>
      <w:r>
        <w:rPr>
          <w:rtl/>
        </w:rPr>
        <w:t xml:space="preserve"> </w:t>
      </w:r>
      <w:bookmarkEnd w:id="4"/>
      <w:r w:rsidR="002200A1" w:rsidRPr="00CF1AA2">
        <w:rPr>
          <w:rFonts w:hint="cs"/>
          <w:rtl/>
        </w:rPr>
        <w:tab/>
      </w:r>
      <w:bookmarkStart w:id="5" w:name="LGS_PM_NamesJoin"/>
      <w:r>
        <w:rPr>
          <w:rFonts w:hint="cs"/>
          <w:rtl/>
        </w:rPr>
        <w:t xml:space="preserve"> </w:t>
      </w:r>
      <w:bookmarkEnd w:id="5"/>
    </w:p>
    <w:p w14:paraId="34DB4103" w14:textId="77777777" w:rsidR="00904591" w:rsidRPr="00904591" w:rsidRDefault="00266D86" w:rsidP="0036422C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>
        <w:t>____</w:t>
      </w:r>
      <w:r w:rsidR="00E374F2">
        <w:t>__</w:t>
      </w:r>
      <w:r>
        <w:t>________________________________________</w:t>
      </w:r>
      <w:r w:rsidR="00E06736" w:rsidRPr="00E06736"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904591">
        <w:t xml:space="preserve">           </w:t>
      </w:r>
    </w:p>
    <w:p w14:paraId="7F6961AB" w14:textId="256138AA" w:rsidR="00E13C27" w:rsidRPr="00E06736" w:rsidRDefault="00904591" w:rsidP="00904591">
      <w:pPr>
        <w:pStyle w:val="David"/>
        <w:spacing w:before="0" w:line="240" w:lineRule="auto"/>
        <w:ind w:left="3544"/>
        <w:rPr>
          <w:rtl/>
        </w:rPr>
      </w:pPr>
      <w:r>
        <w:t xml:space="preserve">                                            </w:t>
      </w:r>
      <w:r w:rsidR="008F1308">
        <w:t xml:space="preserve"> </w:t>
      </w:r>
      <w:bookmarkStart w:id="6" w:name="Private_Number"/>
      <w:r>
        <w:rPr>
          <w:rFonts w:hint="cs"/>
          <w:rtl/>
        </w:rPr>
        <w:t>פ/4219/20</w:t>
      </w:r>
      <w:bookmarkEnd w:id="6"/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7F6961AD" w14:textId="77777777" w:rsidR="00E13C27" w:rsidRPr="00F67051" w:rsidRDefault="00A443CF" w:rsidP="0021633A">
      <w:pPr>
        <w:pStyle w:val="HeadHatzaotHok"/>
        <w:rPr>
          <w:rtl/>
        </w:rPr>
      </w:pPr>
      <w:bookmarkStart w:id="7" w:name="LGS_Subject"/>
      <w:r>
        <w:rPr>
          <w:rFonts w:hint="cs"/>
          <w:rtl/>
        </w:rPr>
        <w:t>הצעת חוק הביטוח הלאומי (תיקון – פטור מתשלום דמי ביטוח לסטודנטים על בסיס הכנסות ההורים), התשע"ז–2017</w:t>
      </w:r>
      <w:bookmarkEnd w:id="7"/>
    </w:p>
    <w:p w14:paraId="7F6961AE" w14:textId="77777777" w:rsidR="00E13C27" w:rsidRDefault="00E13C27" w:rsidP="0021633A">
      <w:pPr>
        <w:pStyle w:val="HeadDivreiHesber"/>
        <w:spacing w:before="0" w:after="0"/>
        <w:rPr>
          <w:rtl/>
        </w:rPr>
      </w:pPr>
      <w:bookmarkStart w:id="8" w:name="_GoBack"/>
      <w:bookmarkEnd w:id="8"/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6"/>
      </w:tblGrid>
      <w:tr w:rsidR="005C793A" w14:paraId="3D9B61D1" w14:textId="77777777" w:rsidTr="002C3041">
        <w:trPr>
          <w:cantSplit/>
          <w:trHeight w:val="60"/>
        </w:trPr>
        <w:tc>
          <w:tcPr>
            <w:tcW w:w="1871" w:type="dxa"/>
          </w:tcPr>
          <w:p w14:paraId="6C0CB9D8" w14:textId="1DD03682" w:rsidR="005C793A" w:rsidRDefault="005C793A" w:rsidP="005C793A">
            <w:pPr>
              <w:pStyle w:val="TableSideHeading"/>
              <w:keepLines w:val="0"/>
            </w:pPr>
            <w:r w:rsidRPr="00516AF0">
              <w:rPr>
                <w:sz w:val="26"/>
                <w:rtl/>
              </w:rPr>
              <w:t xml:space="preserve">תיקון סעיף 351 </w:t>
            </w:r>
          </w:p>
        </w:tc>
        <w:tc>
          <w:tcPr>
            <w:tcW w:w="624" w:type="dxa"/>
          </w:tcPr>
          <w:p w14:paraId="3F4286A2" w14:textId="57C7DED5" w:rsidR="005C793A" w:rsidRDefault="005C793A" w:rsidP="005C793A">
            <w:pPr>
              <w:pStyle w:val="TableText"/>
              <w:keepLines w:val="0"/>
            </w:pPr>
            <w:r w:rsidRPr="00801009">
              <w:rPr>
                <w:sz w:val="26"/>
                <w:rtl/>
              </w:rPr>
              <w:t>1.</w:t>
            </w:r>
          </w:p>
        </w:tc>
        <w:tc>
          <w:tcPr>
            <w:tcW w:w="7146" w:type="dxa"/>
          </w:tcPr>
          <w:p w14:paraId="7633D5BB" w14:textId="7FF3734F" w:rsidR="005C793A" w:rsidRPr="00C34DE2" w:rsidRDefault="005C793A" w:rsidP="005C793A">
            <w:pPr>
              <w:pStyle w:val="TableBlock"/>
              <w:keepLines w:val="0"/>
            </w:pPr>
            <w:r w:rsidRPr="00801009">
              <w:rPr>
                <w:sz w:val="26"/>
                <w:rtl/>
              </w:rPr>
              <w:t>בחוק הביטוח הלאומי [נוסח משולב], התשנ"ה–1995</w:t>
            </w:r>
            <w:r w:rsidRPr="00801009">
              <w:rPr>
                <w:szCs w:val="20"/>
                <w:rtl/>
              </w:rPr>
              <w:footnoteReference w:id="2"/>
            </w:r>
            <w:r w:rsidRPr="00801009">
              <w:rPr>
                <w:sz w:val="26"/>
                <w:rtl/>
              </w:rPr>
              <w:t>, בסעיף 351, אחרי סעיף קטן (יא) יבוא:</w:t>
            </w:r>
          </w:p>
        </w:tc>
      </w:tr>
      <w:tr w:rsidR="00A40B14" w14:paraId="204B1442" w14:textId="77777777" w:rsidTr="00764BB5">
        <w:trPr>
          <w:cantSplit/>
          <w:trHeight w:val="60"/>
        </w:trPr>
        <w:tc>
          <w:tcPr>
            <w:tcW w:w="1871" w:type="dxa"/>
          </w:tcPr>
          <w:p w14:paraId="4E262DCE" w14:textId="77777777" w:rsidR="00A40B14" w:rsidRDefault="00A40B14">
            <w:pPr>
              <w:pStyle w:val="TableSideHeading"/>
            </w:pPr>
          </w:p>
        </w:tc>
        <w:tc>
          <w:tcPr>
            <w:tcW w:w="624" w:type="dxa"/>
          </w:tcPr>
          <w:p w14:paraId="29B808E9" w14:textId="77777777" w:rsidR="00A40B14" w:rsidRDefault="00A40B14">
            <w:pPr>
              <w:pStyle w:val="TableText"/>
            </w:pPr>
          </w:p>
        </w:tc>
        <w:tc>
          <w:tcPr>
            <w:tcW w:w="7146" w:type="dxa"/>
          </w:tcPr>
          <w:p w14:paraId="274BC180" w14:textId="36E82DFA" w:rsidR="00A40B14" w:rsidRDefault="00A40B14" w:rsidP="00A40B14">
            <w:pPr>
              <w:pStyle w:val="TableBlock"/>
            </w:pPr>
            <w:r>
              <w:rPr>
                <w:rFonts w:hint="cs"/>
                <w:rtl/>
              </w:rPr>
              <w:t>"(יב)</w:t>
            </w:r>
            <w:r>
              <w:rPr>
                <w:rtl/>
              </w:rPr>
              <w:tab/>
            </w:r>
            <w:r>
              <w:rPr>
                <w:rFonts w:hint="cs"/>
                <w:sz w:val="26"/>
                <w:rtl/>
              </w:rPr>
              <w:t xml:space="preserve">מבוטח שהוא </w:t>
            </w:r>
            <w:r w:rsidRPr="00801009">
              <w:rPr>
                <w:sz w:val="26"/>
                <w:rtl/>
              </w:rPr>
              <w:t>תלמיד במוסד מוכר</w:t>
            </w:r>
            <w:r>
              <w:rPr>
                <w:rFonts w:hint="cs"/>
                <w:sz w:val="26"/>
                <w:rtl/>
              </w:rPr>
              <w:t xml:space="preserve"> להשכלה גבוהה</w:t>
            </w:r>
            <w:r w:rsidRPr="00801009">
              <w:rPr>
                <w:sz w:val="26"/>
                <w:rtl/>
              </w:rPr>
              <w:t>, כמשמעותו בחוק המועצה להשכלה גבוהה, התשי"ח–1958</w:t>
            </w:r>
            <w:r w:rsidRPr="00801009">
              <w:rPr>
                <w:rStyle w:val="a6"/>
                <w:sz w:val="26"/>
                <w:rtl/>
              </w:rPr>
              <w:footnoteReference w:id="3"/>
            </w:r>
            <w:r w:rsidRPr="00801009">
              <w:rPr>
                <w:sz w:val="26"/>
                <w:rtl/>
              </w:rPr>
              <w:t>, שאינו עובד ואינו עובד עצמאי</w:t>
            </w:r>
            <w:r w:rsidR="009B3C68">
              <w:rPr>
                <w:rFonts w:hint="cs"/>
                <w:sz w:val="26"/>
                <w:rtl/>
              </w:rPr>
              <w:t>,</w:t>
            </w:r>
            <w:r w:rsidRPr="00801009">
              <w:rPr>
                <w:sz w:val="26"/>
                <w:rtl/>
              </w:rPr>
              <w:t xml:space="preserve"> לא ישלם דמי ביטוח בתקופת לימודיו, ובלבד </w:t>
            </w:r>
            <w:r>
              <w:rPr>
                <w:rFonts w:hint="cs"/>
                <w:sz w:val="26"/>
                <w:rtl/>
              </w:rPr>
              <w:t>שה</w:t>
            </w:r>
            <w:r>
              <w:rPr>
                <w:sz w:val="26"/>
                <w:rtl/>
              </w:rPr>
              <w:t>הכנס</w:t>
            </w:r>
            <w:r>
              <w:rPr>
                <w:rFonts w:hint="cs"/>
                <w:sz w:val="26"/>
                <w:rtl/>
              </w:rPr>
              <w:t>ה הכוללת</w:t>
            </w:r>
            <w:r>
              <w:rPr>
                <w:sz w:val="26"/>
                <w:rtl/>
              </w:rPr>
              <w:t xml:space="preserve"> של</w:t>
            </w:r>
            <w:r w:rsidRPr="00801009">
              <w:rPr>
                <w:sz w:val="26"/>
                <w:rtl/>
              </w:rPr>
              <w:t xml:space="preserve"> הורי</w:t>
            </w:r>
            <w:r>
              <w:rPr>
                <w:rFonts w:hint="cs"/>
                <w:sz w:val="26"/>
                <w:rtl/>
              </w:rPr>
              <w:t xml:space="preserve">ו </w:t>
            </w:r>
            <w:r w:rsidRPr="00801009">
              <w:rPr>
                <w:sz w:val="26"/>
                <w:rtl/>
              </w:rPr>
              <w:t>בשלושת החודשים שקדמו להגשת הבקשה למתן פטור</w:t>
            </w:r>
            <w:r>
              <w:rPr>
                <w:rFonts w:hint="cs"/>
                <w:sz w:val="26"/>
                <w:rtl/>
              </w:rPr>
              <w:t>,</w:t>
            </w:r>
            <w:r w:rsidRPr="00801009">
              <w:rPr>
                <w:sz w:val="26"/>
                <w:rtl/>
              </w:rPr>
              <w:t xml:space="preserve"> נמוכה מ</w:t>
            </w:r>
            <w:r>
              <w:rPr>
                <w:rFonts w:hint="cs"/>
                <w:sz w:val="26"/>
                <w:rtl/>
              </w:rPr>
              <w:t>-</w:t>
            </w:r>
            <w:r w:rsidRPr="00801009">
              <w:rPr>
                <w:sz w:val="26"/>
                <w:rtl/>
              </w:rPr>
              <w:t>17,237 שקלים</w:t>
            </w:r>
            <w:r>
              <w:rPr>
                <w:rFonts w:hint="cs"/>
                <w:sz w:val="26"/>
                <w:rtl/>
              </w:rPr>
              <w:t xml:space="preserve"> חדשים לחודש</w:t>
            </w:r>
            <w:r>
              <w:rPr>
                <w:rFonts w:hint="cs"/>
                <w:rtl/>
              </w:rPr>
              <w:t>.</w:t>
            </w:r>
            <w:r w:rsidR="00C6180D">
              <w:rPr>
                <w:rFonts w:hint="cs"/>
                <w:rtl/>
              </w:rPr>
              <w:t>"</w:t>
            </w:r>
          </w:p>
        </w:tc>
      </w:tr>
    </w:tbl>
    <w:p w14:paraId="7F6961CA" w14:textId="77777777" w:rsidR="002D1EE3" w:rsidRDefault="002D1EE3" w:rsidP="002D1EE3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3FA8AD0F" w14:textId="57635519" w:rsidR="005C793A" w:rsidRPr="005C793A" w:rsidRDefault="005C793A" w:rsidP="00A40B14">
      <w:pPr>
        <w:pStyle w:val="Hesber"/>
        <w:rPr>
          <w:rtl/>
        </w:rPr>
      </w:pPr>
      <w:r w:rsidRPr="005C793A">
        <w:rPr>
          <w:rtl/>
        </w:rPr>
        <w:t xml:space="preserve">מטרת הצעת החוק </w:t>
      </w:r>
      <w:r w:rsidR="00547D03">
        <w:rPr>
          <w:rFonts w:hint="cs"/>
          <w:rtl/>
        </w:rPr>
        <w:t xml:space="preserve">היא </w:t>
      </w:r>
      <w:r w:rsidRPr="005C793A">
        <w:rPr>
          <w:rtl/>
        </w:rPr>
        <w:t xml:space="preserve">לסייע לסטודנטים שאינם עובדים ואינם יכולים לקבל סיוע כלכלי מהוריהם, </w:t>
      </w:r>
      <w:r w:rsidR="00A40B14">
        <w:rPr>
          <w:rFonts w:hint="cs"/>
          <w:rtl/>
        </w:rPr>
        <w:t xml:space="preserve">באמצעות </w:t>
      </w:r>
      <w:r w:rsidRPr="005C793A">
        <w:rPr>
          <w:rtl/>
        </w:rPr>
        <w:t>מתן פטור מתשלום דמי ביטוח לאומי, למשך תקופת הלימודים</w:t>
      </w:r>
      <w:r w:rsidR="00A40B14">
        <w:rPr>
          <w:rFonts w:hint="cs"/>
          <w:rtl/>
        </w:rPr>
        <w:t>.</w:t>
      </w:r>
    </w:p>
    <w:p w14:paraId="4503FC07" w14:textId="325077CB" w:rsidR="005C793A" w:rsidRPr="005C793A" w:rsidRDefault="005C793A" w:rsidP="00F330A9">
      <w:pPr>
        <w:pStyle w:val="Hesber"/>
        <w:rPr>
          <w:rtl/>
        </w:rPr>
      </w:pPr>
      <w:r w:rsidRPr="005C793A">
        <w:rPr>
          <w:rtl/>
        </w:rPr>
        <w:t xml:space="preserve"> הצעת החוק </w:t>
      </w:r>
      <w:r w:rsidR="00547D03">
        <w:rPr>
          <w:rFonts w:hint="cs"/>
          <w:rtl/>
        </w:rPr>
        <w:t>נועדה</w:t>
      </w:r>
      <w:r w:rsidRPr="005C793A">
        <w:rPr>
          <w:rtl/>
        </w:rPr>
        <w:t xml:space="preserve"> להקטין את הנטל הכלכלי המוטל על הסטודנטים, </w:t>
      </w:r>
      <w:r w:rsidR="00A40B14">
        <w:rPr>
          <w:rFonts w:hint="cs"/>
          <w:rtl/>
        </w:rPr>
        <w:t>ו</w:t>
      </w:r>
      <w:r w:rsidRPr="005C793A">
        <w:rPr>
          <w:rtl/>
        </w:rPr>
        <w:t>לעודד</w:t>
      </w:r>
      <w:r w:rsidR="009B3C68">
        <w:rPr>
          <w:rFonts w:hint="cs"/>
          <w:rtl/>
        </w:rPr>
        <w:t>ם לרכוש</w:t>
      </w:r>
      <w:r w:rsidRPr="005C793A">
        <w:rPr>
          <w:rtl/>
        </w:rPr>
        <w:t xml:space="preserve"> מקצוע ולקבל הכשרה מקצועית, וכן לאפשר לסטודנטים נגישות כלכלית </w:t>
      </w:r>
      <w:r w:rsidR="00F330A9">
        <w:rPr>
          <w:rFonts w:hint="cs"/>
          <w:rtl/>
        </w:rPr>
        <w:t>לרכישת</w:t>
      </w:r>
      <w:r w:rsidRPr="005C793A">
        <w:rPr>
          <w:rtl/>
        </w:rPr>
        <w:t xml:space="preserve"> השכלה ולממש את הפוטנציאל ה</w:t>
      </w:r>
      <w:r w:rsidR="00F330A9">
        <w:rPr>
          <w:rtl/>
        </w:rPr>
        <w:t>אישי שלהם ברכישת קריירה מקצועית</w:t>
      </w:r>
      <w:r w:rsidR="00F330A9">
        <w:rPr>
          <w:rFonts w:hint="cs"/>
          <w:rtl/>
        </w:rPr>
        <w:t>,</w:t>
      </w:r>
      <w:r w:rsidR="00547D03" w:rsidRPr="00547D03">
        <w:rPr>
          <w:rtl/>
        </w:rPr>
        <w:t xml:space="preserve"> </w:t>
      </w:r>
      <w:r w:rsidR="00547D03" w:rsidRPr="005C793A">
        <w:rPr>
          <w:rtl/>
        </w:rPr>
        <w:t>ועל ידי כך לתרום למשק כבעלי מקצוע מוכשרים</w:t>
      </w:r>
      <w:r w:rsidR="00F330A9">
        <w:rPr>
          <w:rFonts w:hint="cs"/>
          <w:rtl/>
        </w:rPr>
        <w:t>.</w:t>
      </w:r>
    </w:p>
    <w:p w14:paraId="7F6961CB" w14:textId="4C99A5BB" w:rsidR="00E13C27" w:rsidRDefault="009B3C68" w:rsidP="009B3C68">
      <w:pPr>
        <w:pStyle w:val="Hesber"/>
        <w:rPr>
          <w:rtl/>
        </w:rPr>
      </w:pPr>
      <w:r>
        <w:rPr>
          <w:rFonts w:hint="cs"/>
          <w:rtl/>
        </w:rPr>
        <w:t xml:space="preserve">לפיכך, </w:t>
      </w:r>
      <w:r w:rsidR="00A40B14">
        <w:rPr>
          <w:rFonts w:hint="cs"/>
          <w:rtl/>
        </w:rPr>
        <w:t>מוצע</w:t>
      </w:r>
      <w:r w:rsidR="005C793A" w:rsidRPr="005C793A">
        <w:rPr>
          <w:rtl/>
        </w:rPr>
        <w:t xml:space="preserve"> להעניק פטור מלא מתשלום דמי ביטוח לאומי</w:t>
      </w:r>
      <w:r>
        <w:rPr>
          <w:rFonts w:hint="cs"/>
          <w:rtl/>
        </w:rPr>
        <w:t xml:space="preserve"> לסטודנטים</w:t>
      </w:r>
      <w:r w:rsidR="005C793A" w:rsidRPr="005C793A">
        <w:rPr>
          <w:rtl/>
        </w:rPr>
        <w:t xml:space="preserve"> </w:t>
      </w:r>
      <w:r w:rsidR="005C793A" w:rsidRPr="005C793A">
        <w:rPr>
          <w:rFonts w:hint="cs"/>
          <w:rtl/>
        </w:rPr>
        <w:t>למשך תקופת לימודי</w:t>
      </w:r>
      <w:r>
        <w:rPr>
          <w:rFonts w:hint="cs"/>
          <w:rtl/>
        </w:rPr>
        <w:t>ה</w:t>
      </w:r>
      <w:r w:rsidR="005C793A" w:rsidRPr="005C793A">
        <w:rPr>
          <w:rFonts w:hint="cs"/>
          <w:rtl/>
        </w:rPr>
        <w:t>ם</w:t>
      </w:r>
      <w:r>
        <w:rPr>
          <w:rFonts w:hint="cs"/>
          <w:rtl/>
        </w:rPr>
        <w:t>. הפטור האמור י</w:t>
      </w:r>
      <w:r w:rsidR="005C793A" w:rsidRPr="005C793A">
        <w:rPr>
          <w:rFonts w:hint="cs"/>
          <w:rtl/>
        </w:rPr>
        <w:t>ינתן בכל שנה אקדמית</w:t>
      </w:r>
      <w:r>
        <w:rPr>
          <w:rFonts w:hint="cs"/>
          <w:rtl/>
        </w:rPr>
        <w:t xml:space="preserve">, </w:t>
      </w:r>
      <w:r w:rsidR="005C793A" w:rsidRPr="005C793A">
        <w:rPr>
          <w:rtl/>
        </w:rPr>
        <w:t xml:space="preserve">בכפוף להצגת אישור </w:t>
      </w:r>
      <w:r w:rsidR="00A40B14">
        <w:rPr>
          <w:rFonts w:hint="cs"/>
          <w:rtl/>
        </w:rPr>
        <w:t>ע</w:t>
      </w:r>
      <w:r w:rsidR="005C793A" w:rsidRPr="005C793A">
        <w:rPr>
          <w:rtl/>
        </w:rPr>
        <w:t>ל</w:t>
      </w:r>
      <w:r w:rsidR="00A40B14">
        <w:rPr>
          <w:rFonts w:hint="cs"/>
          <w:rtl/>
        </w:rPr>
        <w:t xml:space="preserve"> </w:t>
      </w:r>
      <w:r w:rsidR="005C793A" w:rsidRPr="005C793A">
        <w:rPr>
          <w:rtl/>
        </w:rPr>
        <w:t>כך ש</w:t>
      </w:r>
      <w:r w:rsidR="005C793A">
        <w:rPr>
          <w:rFonts w:hint="cs"/>
          <w:rtl/>
        </w:rPr>
        <w:t>ה</w:t>
      </w:r>
      <w:r w:rsidR="00A40B14">
        <w:rPr>
          <w:rFonts w:hint="cs"/>
          <w:rtl/>
        </w:rPr>
        <w:t>ה</w:t>
      </w:r>
      <w:r w:rsidR="005C793A">
        <w:rPr>
          <w:rFonts w:hint="cs"/>
          <w:rtl/>
        </w:rPr>
        <w:t>כנס</w:t>
      </w:r>
      <w:r w:rsidR="00A40B14">
        <w:rPr>
          <w:rFonts w:hint="cs"/>
          <w:rtl/>
        </w:rPr>
        <w:t>ה</w:t>
      </w:r>
      <w:r w:rsidR="005C793A">
        <w:rPr>
          <w:rFonts w:hint="cs"/>
          <w:rtl/>
        </w:rPr>
        <w:t xml:space="preserve"> </w:t>
      </w:r>
      <w:r w:rsidR="00A40B14">
        <w:rPr>
          <w:rFonts w:hint="cs"/>
          <w:rtl/>
        </w:rPr>
        <w:t xml:space="preserve">הכוללת של שני ההורים של הסטודנט יחד </w:t>
      </w:r>
      <w:r w:rsidR="005C793A" w:rsidRPr="005C793A">
        <w:rPr>
          <w:rtl/>
        </w:rPr>
        <w:t xml:space="preserve"> נמוכה מ-17,237 שקלים</w:t>
      </w:r>
      <w:r w:rsidR="00A40B14">
        <w:rPr>
          <w:rFonts w:hint="cs"/>
          <w:rtl/>
        </w:rPr>
        <w:t xml:space="preserve"> חדשים</w:t>
      </w:r>
      <w:r w:rsidR="005C793A" w:rsidRPr="005C793A">
        <w:rPr>
          <w:rtl/>
        </w:rPr>
        <w:t xml:space="preserve"> לחודש</w:t>
      </w:r>
      <w:r w:rsidR="00A40B14">
        <w:rPr>
          <w:rFonts w:hint="cs"/>
          <w:rtl/>
        </w:rPr>
        <w:t>. הכנסה זו מייצגת את העשירון</w:t>
      </w:r>
      <w:r w:rsidR="005C793A" w:rsidRPr="005C793A">
        <w:rPr>
          <w:rtl/>
        </w:rPr>
        <w:t xml:space="preserve"> </w:t>
      </w:r>
      <w:r w:rsidR="00A40B14">
        <w:rPr>
          <w:rFonts w:hint="cs"/>
          <w:rtl/>
        </w:rPr>
        <w:t>ה-</w:t>
      </w:r>
      <w:r w:rsidR="005C793A" w:rsidRPr="005C793A">
        <w:rPr>
          <w:rtl/>
        </w:rPr>
        <w:t>6 ומטה על פי נתוני הלשכה המרכזית לסטטיסטיקה מחודש נובמבר 2016. הכנסת ההורים תיבחן בעת הגשת הבקשה לפי תלושי משכורת או דיווחי מס משלושת החודשים שקדמו להגשת הבקשה.</w:t>
      </w:r>
    </w:p>
    <w:p w14:paraId="38247C61" w14:textId="77777777" w:rsidR="00F330A9" w:rsidRPr="00D73212" w:rsidRDefault="00F330A9" w:rsidP="00F330A9">
      <w:pPr>
        <w:pStyle w:val="Hesber"/>
        <w:spacing w:line="240" w:lineRule="auto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6AC4755E" w14:textId="77777777" w:rsidR="00F330A9" w:rsidRPr="00D73212" w:rsidRDefault="00F330A9" w:rsidP="00F330A9">
      <w:pPr>
        <w:pStyle w:val="Hesber"/>
        <w:spacing w:line="240" w:lineRule="auto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0DD79914" w14:textId="77777777" w:rsidR="00F330A9" w:rsidRPr="00D73212" w:rsidRDefault="00F330A9" w:rsidP="00F330A9">
      <w:pPr>
        <w:pStyle w:val="Hesber"/>
        <w:spacing w:line="240" w:lineRule="auto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32DB6FDC" w14:textId="68CF1BD3" w:rsidR="00F330A9" w:rsidRDefault="00F330A9" w:rsidP="00F330A9">
      <w:pPr>
        <w:pStyle w:val="Hesber"/>
        <w:spacing w:line="240" w:lineRule="auto"/>
        <w:rPr>
          <w:rtl/>
        </w:rPr>
      </w:pPr>
      <w:r>
        <w:rPr>
          <w:rFonts w:hint="cs"/>
          <w:color w:val="auto"/>
          <w:rtl/>
          <w:lang w:eastAsia="en-US"/>
        </w:rPr>
        <w:t>י"ט באייר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ז</w:t>
      </w:r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15.5</w:t>
      </w:r>
      <w:r w:rsidRPr="00D73212">
        <w:rPr>
          <w:color w:val="auto"/>
          <w:rtl/>
          <w:lang w:eastAsia="en-US"/>
        </w:rPr>
        <w:t>.</w:t>
      </w:r>
      <w:r>
        <w:rPr>
          <w:rFonts w:hint="cs"/>
          <w:color w:val="auto"/>
          <w:rtl/>
          <w:lang w:eastAsia="en-US"/>
        </w:rPr>
        <w:t>17</w:t>
      </w:r>
    </w:p>
    <w:sectPr w:rsidR="00F330A9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7F6961D6" w14:textId="77777777" w:rsidR="002C3041" w:rsidRDefault="002C30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F330A9">
      <w:rPr>
        <w:rStyle w:val="ab"/>
        <w:noProof/>
        <w:rtl/>
      </w:rPr>
      <w:t>2</w:t>
    </w:r>
    <w:r>
      <w:rPr>
        <w:rStyle w:val="ab"/>
        <w:rtl/>
      </w:rPr>
      <w:fldChar w:fldCharType="end"/>
    </w:r>
  </w:p>
  <w:p w14:paraId="7F6961D8" w14:textId="77777777" w:rsidR="002C3041" w:rsidRDefault="002C3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399B8CBE" w14:textId="77777777" w:rsidR="005C793A" w:rsidRDefault="005C793A">
      <w:pPr>
        <w:pStyle w:val="a4"/>
      </w:pPr>
      <w:r>
        <w:rPr>
          <w:rStyle w:val="a6"/>
        </w:rPr>
        <w:footnoteRef/>
      </w:r>
      <w:r>
        <w:rPr>
          <w:sz w:val="20"/>
          <w:rtl/>
        </w:rPr>
        <w:t xml:space="preserve"> ס"ח התשנ"ה, עמ' 210.</w:t>
      </w:r>
    </w:p>
  </w:footnote>
  <w:footnote w:id="3">
    <w:p w14:paraId="191865D3" w14:textId="77777777" w:rsidR="00A40B14" w:rsidRDefault="00A40B14" w:rsidP="00A40B14">
      <w:pPr>
        <w:pStyle w:val="a4"/>
      </w:pPr>
      <w:r>
        <w:rPr>
          <w:rStyle w:val="a6"/>
        </w:rPr>
        <w:footnoteRef/>
      </w:r>
      <w:r>
        <w:rPr>
          <w:sz w:val="20"/>
          <w:rtl/>
        </w:rPr>
        <w:t xml:space="preserve"> ס"ח התשי"ח, עמ' 191.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1D7AAF"/>
    <w:rsid w:val="00203A7F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6422C"/>
    <w:rsid w:val="003710F6"/>
    <w:rsid w:val="00386E88"/>
    <w:rsid w:val="00396585"/>
    <w:rsid w:val="003D6E38"/>
    <w:rsid w:val="003D74A0"/>
    <w:rsid w:val="004033D8"/>
    <w:rsid w:val="004073F0"/>
    <w:rsid w:val="00412A7D"/>
    <w:rsid w:val="00416B4D"/>
    <w:rsid w:val="00417CFC"/>
    <w:rsid w:val="004A06DC"/>
    <w:rsid w:val="004B24ED"/>
    <w:rsid w:val="004B6625"/>
    <w:rsid w:val="004D2D82"/>
    <w:rsid w:val="004D3876"/>
    <w:rsid w:val="004E4552"/>
    <w:rsid w:val="004E6CDF"/>
    <w:rsid w:val="00547D03"/>
    <w:rsid w:val="00553C9D"/>
    <w:rsid w:val="00562A66"/>
    <w:rsid w:val="005B064E"/>
    <w:rsid w:val="005C793A"/>
    <w:rsid w:val="005D51AE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63CAA"/>
    <w:rsid w:val="00765F66"/>
    <w:rsid w:val="0078664F"/>
    <w:rsid w:val="007C3FA6"/>
    <w:rsid w:val="007D585A"/>
    <w:rsid w:val="007D5A12"/>
    <w:rsid w:val="007E59F9"/>
    <w:rsid w:val="00810BCD"/>
    <w:rsid w:val="00812C98"/>
    <w:rsid w:val="00814D92"/>
    <w:rsid w:val="0083181D"/>
    <w:rsid w:val="00843EB2"/>
    <w:rsid w:val="00865572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A0DB8"/>
    <w:rsid w:val="009A7257"/>
    <w:rsid w:val="009B3C68"/>
    <w:rsid w:val="009D6E0A"/>
    <w:rsid w:val="009E1E33"/>
    <w:rsid w:val="00A14672"/>
    <w:rsid w:val="00A26BD6"/>
    <w:rsid w:val="00A40B14"/>
    <w:rsid w:val="00A443CF"/>
    <w:rsid w:val="00A6611D"/>
    <w:rsid w:val="00A82CB7"/>
    <w:rsid w:val="00A942C1"/>
    <w:rsid w:val="00AA2F03"/>
    <w:rsid w:val="00AC36F7"/>
    <w:rsid w:val="00AC63A4"/>
    <w:rsid w:val="00AD239E"/>
    <w:rsid w:val="00B10265"/>
    <w:rsid w:val="00B16A99"/>
    <w:rsid w:val="00B21211"/>
    <w:rsid w:val="00B35784"/>
    <w:rsid w:val="00B733A7"/>
    <w:rsid w:val="00B75C91"/>
    <w:rsid w:val="00B975AD"/>
    <w:rsid w:val="00BC45FB"/>
    <w:rsid w:val="00BF148D"/>
    <w:rsid w:val="00C23B1A"/>
    <w:rsid w:val="00C310EB"/>
    <w:rsid w:val="00C6180D"/>
    <w:rsid w:val="00C9176A"/>
    <w:rsid w:val="00CF1AA2"/>
    <w:rsid w:val="00D17774"/>
    <w:rsid w:val="00D63620"/>
    <w:rsid w:val="00D8410D"/>
    <w:rsid w:val="00D867D7"/>
    <w:rsid w:val="00DB7060"/>
    <w:rsid w:val="00DE3153"/>
    <w:rsid w:val="00E06736"/>
    <w:rsid w:val="00E13C27"/>
    <w:rsid w:val="00E33BBD"/>
    <w:rsid w:val="00E374F2"/>
    <w:rsid w:val="00E45103"/>
    <w:rsid w:val="00E55A60"/>
    <w:rsid w:val="00E62778"/>
    <w:rsid w:val="00E63D38"/>
    <w:rsid w:val="00E665B9"/>
    <w:rsid w:val="00EA01E6"/>
    <w:rsid w:val="00EA3DE8"/>
    <w:rsid w:val="00EA758F"/>
    <w:rsid w:val="00ED4A6F"/>
    <w:rsid w:val="00EF3A3A"/>
    <w:rsid w:val="00F330A9"/>
    <w:rsid w:val="00F628D6"/>
    <w:rsid w:val="00F67051"/>
    <w:rsid w:val="00F86A1E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7CC2A52-7C30-40EF-A06A-B08F5C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uiPriority w:val="99"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basedOn w:val="a0"/>
    <w:uiPriority w:val="99"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8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5">
    <w:name w:val="טקסט הערת שוליים תו"/>
    <w:basedOn w:val="a0"/>
    <w:link w:val="a4"/>
    <w:uiPriority w:val="99"/>
    <w:locked/>
    <w:rsid w:val="005C793A"/>
    <w:rPr>
      <w:rFonts w:ascii="Arial" w:eastAsia="Arial Unicode MS" w:hAnsi="Arial" w:cs="David"/>
      <w:snapToGrid w:val="0"/>
      <w:color w:val="000000"/>
      <w:sz w:val="1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AFE3-9455-419C-8851-785A55F44517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0C87B-C90A-49FF-8AC9-4647AC0A9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DBF475-A8B0-4B72-9F01-42449446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לילך יעיש</cp:lastModifiedBy>
  <cp:revision>6</cp:revision>
  <cp:lastPrinted>2017-05-11T07:23:00Z</cp:lastPrinted>
  <dcterms:created xsi:type="dcterms:W3CDTF">2015-04-20T09:58:00Z</dcterms:created>
  <dcterms:modified xsi:type="dcterms:W3CDTF">2017-05-11T07:24:00Z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2016486</vt:r8>
  </property>
</Properties>
</file>