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p w:rsidRPr="0000131B" w:rsidR="002C2E29" w:rsidP="00A443CF" w:rsidRDefault="004033D8" w14:paraId="7F6961A1" w14:textId="77777777">
      <w:pPr>
        <w:pStyle w:val="HeadHatzaotHok"/>
        <w:jc w:val="right"/>
        <w:rPr>
          <w:b w:val="0"/>
          <w:bCs w:val="0"/>
          <w:szCs w:val="20"/>
        </w:rPr>
      </w:pPr>
      <w:r w:rsidRPr="0000131B">
        <w:rPr>
          <w:rFonts w:hint="cs"/>
          <w:b w:val="0"/>
          <w:bCs w:val="0"/>
          <w:szCs w:val="20"/>
          <w:rtl/>
        </w:rPr>
        <w:t xml:space="preserve">מספר פנימי: </w:t>
      </w:r>
      <w:bookmarkStart w:name="LGS_Internal_ID" w:id="0"/>
      <w:r>
        <w:rPr>
          <w:rFonts w:hint="cs"/>
          <w:b w:val="0"/>
          <w:bCs w:val="0"/>
          <w:szCs w:val="20"/>
          <w:rtl/>
        </w:rPr>
        <w:t>2007683</w:t>
      </w:r>
      <w:bookmarkEnd w:id="0"/>
    </w:p>
    <w:p w:rsidRPr="00DB7060" w:rsidR="00E13C27" w:rsidP="00A443CF" w:rsidRDefault="00E13C27" w14:paraId="7F6961A2" w14:textId="53D639AE">
      <w:pPr>
        <w:pStyle w:val="HeadHatzaotHok"/>
        <w:rPr>
          <w:sz w:val="28"/>
          <w:szCs w:val="28"/>
          <w:rtl/>
        </w:rPr>
      </w:pPr>
      <w:r w:rsidRPr="00DB7060">
        <w:rPr>
          <w:rFonts w:hint="cs"/>
          <w:sz w:val="28"/>
          <w:szCs w:val="28"/>
          <w:rtl/>
        </w:rPr>
        <w:t xml:space="preserve">הכנסת </w:t>
      </w:r>
      <w:bookmarkStart w:name="LGS_Knesset_Num" w:id="1"/>
      <w:r>
        <w:rPr>
          <w:rFonts w:hint="cs"/>
          <w:sz w:val="28"/>
          <w:szCs w:val="28"/>
          <w:rtl/>
        </w:rPr>
        <w:t>העשרים</w:t>
      </w:r>
      <w:bookmarkEnd w:id="1"/>
    </w:p>
    <w:p w:rsidRPr="00F67051" w:rsidR="00E13C27" w:rsidP="00E13C27" w:rsidRDefault="00E13C27" w14:paraId="7F6961A3" w14:textId="77777777">
      <w:pPr>
        <w:rPr>
          <w:rFonts w:cs="David"/>
          <w:b/>
          <w:bCs/>
          <w:sz w:val="26"/>
          <w:szCs w:val="26"/>
          <w:rtl/>
        </w:rPr>
      </w:pPr>
    </w:p>
    <w:p w:rsidR="00E13C27" w:rsidP="00930EFE" w:rsidRDefault="008F6665" w14:paraId="7F6961A6" w14:textId="32DC23A1">
      <w:pPr>
        <w:pStyle w:val="David"/>
        <w:spacing w:line="360" w:lineRule="auto"/>
        <w:ind w:left="3544"/>
        <w:rPr>
          <w:b/>
          <w:bCs/>
          <w:rtl/>
        </w:rPr>
      </w:pPr>
      <w:bookmarkStart w:name="LGS_Initiators_List" w:id="2"/>
      <w:r>
        <w:rPr>
          <w:b/>
          <w:bCs/>
          <w:rtl/>
        </w:rPr>
        <w:t>יוזמים:      חברי הכנסת</w:t>
      </w:r>
      <w:bookmarkEnd w:id="2"/>
      <w:r w:rsidRPr="00F67051" w:rsidR="00B35784">
        <w:rPr>
          <w:b/>
          <w:bCs/>
        </w:rPr>
        <w:tab/>
      </w:r>
      <w:bookmarkStart w:name="LGS_PM_Names" w:id="3"/>
      <w:r>
        <w:rPr>
          <w:rFonts w:hint="cs"/>
          <w:b/>
          <w:bCs/>
          <w:rtl/>
        </w:rPr>
        <w:t>עליזה לביא</w:t>
      </w:r>
      <w:r w:rsidR="00B96B74">
        <w:rPr>
          <w:rFonts w:hint="cs"/>
          <w:rtl/>
        </w:rPr>
        <w:t xml:space="preserve"> </w:t>
      </w:r>
      <w:r>
        <w:br/>
      </w:r>
      <w:r>
        <w:rPr>
          <w:rFonts w:hint="cs"/>
          <w:b/>
          <w:bCs/>
          <w:rtl/>
        </w:rPr>
        <w:t xml:space="preserve"> </w:t>
      </w:r>
      <w:r>
        <w:tab/>
      </w:r>
      <w:r>
        <w:tab/>
      </w:r>
      <w:r>
        <w:tab/>
      </w:r>
      <w:r>
        <w:tab/>
      </w:r>
      <w:r>
        <w:rPr>
          <w:rFonts w:hint="cs"/>
          <w:b/>
          <w:bCs/>
          <w:rtl/>
        </w:rPr>
        <w:t>יעקב מרגי</w:t>
      </w:r>
      <w:r>
        <w:br/>
      </w:r>
      <w:r>
        <w:rPr>
          <w:rFonts w:hint="cs"/>
          <w:b/>
          <w:bCs/>
          <w:rtl/>
        </w:rPr>
        <w:t xml:space="preserve"> </w:t>
      </w:r>
      <w:r>
        <w:tab/>
      </w:r>
      <w:r>
        <w:tab/>
      </w:r>
      <w:r>
        <w:tab/>
      </w:r>
      <w:r>
        <w:tab/>
      </w:r>
      <w:r>
        <w:rPr>
          <w:rFonts w:hint="cs"/>
          <w:b/>
          <w:bCs/>
          <w:rtl/>
        </w:rPr>
        <w:t>ענת ברקו</w:t>
      </w:r>
      <w:r>
        <w:br/>
      </w:r>
      <w:r>
        <w:rPr>
          <w:rFonts w:hint="cs"/>
          <w:b/>
          <w:bCs/>
          <w:rtl/>
        </w:rPr>
        <w:t xml:space="preserve"> </w:t>
      </w:r>
      <w:r>
        <w:tab/>
      </w:r>
      <w:r>
        <w:tab/>
      </w:r>
      <w:r>
        <w:tab/>
      </w:r>
      <w:r>
        <w:tab/>
      </w:r>
      <w:r>
        <w:rPr>
          <w:rFonts w:hint="cs"/>
          <w:b/>
          <w:bCs/>
          <w:rtl/>
        </w:rPr>
        <w:t>מנואל טרכטנברג</w:t>
      </w:r>
      <w:r>
        <w:br/>
      </w:r>
      <w:r>
        <w:rPr>
          <w:rFonts w:hint="cs"/>
          <w:b/>
          <w:bCs/>
          <w:rtl/>
        </w:rPr>
        <w:t xml:space="preserve"> </w:t>
      </w:r>
      <w:r>
        <w:tab/>
      </w:r>
      <w:r>
        <w:tab/>
      </w:r>
      <w:r>
        <w:tab/>
      </w:r>
      <w:r>
        <w:tab/>
      </w:r>
      <w:r>
        <w:rPr>
          <w:rFonts w:hint="cs"/>
          <w:b/>
          <w:bCs/>
          <w:rtl/>
        </w:rPr>
        <w:t>יחיאל חיליק בר</w:t>
      </w:r>
      <w:r>
        <w:br/>
      </w:r>
      <w:r>
        <w:rPr>
          <w:rFonts w:hint="cs"/>
          <w:b/>
          <w:bCs/>
          <w:rtl/>
        </w:rPr>
        <w:t xml:space="preserve"> </w:t>
      </w:r>
      <w:r>
        <w:tab/>
      </w:r>
      <w:r>
        <w:tab/>
      </w:r>
      <w:r>
        <w:tab/>
      </w:r>
      <w:r>
        <w:tab/>
      </w:r>
      <w:r>
        <w:rPr>
          <w:rFonts w:hint="cs"/>
          <w:b/>
          <w:bCs/>
          <w:rtl/>
        </w:rPr>
        <w:t>חיים ילין</w:t>
      </w:r>
      <w:r>
        <w:br/>
      </w:r>
      <w:r>
        <w:rPr>
          <w:rFonts w:hint="cs"/>
          <w:b/>
          <w:bCs/>
          <w:rtl/>
        </w:rPr>
        <w:t xml:space="preserve"> </w:t>
      </w:r>
      <w:r>
        <w:tab/>
      </w:r>
      <w:r>
        <w:tab/>
      </w:r>
      <w:r>
        <w:tab/>
      </w:r>
      <w:r>
        <w:tab/>
      </w:r>
      <w:r>
        <w:rPr>
          <w:rFonts w:hint="cs"/>
          <w:b/>
          <w:bCs/>
          <w:rtl/>
        </w:rPr>
        <w:t>קסניה סבטלובה</w:t>
      </w:r>
      <w:r>
        <w:br/>
      </w:r>
      <w:r>
        <w:rPr>
          <w:rFonts w:hint="cs"/>
          <w:b/>
          <w:bCs/>
          <w:rtl/>
        </w:rPr>
        <w:t xml:space="preserve"> </w:t>
      </w:r>
      <w:r>
        <w:tab/>
      </w:r>
      <w:r>
        <w:tab/>
      </w:r>
      <w:r>
        <w:tab/>
      </w:r>
      <w:r>
        <w:tab/>
      </w:r>
      <w:r>
        <w:rPr>
          <w:rFonts w:hint="cs"/>
          <w:b/>
          <w:bCs/>
          <w:rtl/>
        </w:rPr>
        <w:t>יעל כהן-פארן</w:t>
      </w:r>
      <w:r>
        <w:br/>
      </w:r>
      <w:r>
        <w:rPr>
          <w:rFonts w:hint="cs"/>
          <w:b/>
          <w:bCs/>
          <w:rtl/>
        </w:rPr>
        <w:t xml:space="preserve"> </w:t>
      </w:r>
      <w:r>
        <w:tab/>
      </w:r>
      <w:r>
        <w:tab/>
      </w:r>
      <w:r>
        <w:tab/>
      </w:r>
      <w:r>
        <w:tab/>
      </w:r>
      <w:r>
        <w:rPr>
          <w:rFonts w:hint="cs"/>
          <w:b/>
          <w:bCs/>
          <w:rtl/>
        </w:rPr>
        <w:t>עמר בר-לב</w:t>
      </w:r>
      <w:r>
        <w:br/>
      </w:r>
      <w:r>
        <w:rPr>
          <w:rFonts w:hint="cs"/>
          <w:b/>
          <w:bCs/>
          <w:rtl/>
        </w:rPr>
        <w:t xml:space="preserve"> </w:t>
      </w:r>
      <w:r>
        <w:tab/>
      </w:r>
      <w:r>
        <w:tab/>
      </w:r>
      <w:r>
        <w:tab/>
      </w:r>
      <w:r>
        <w:tab/>
      </w:r>
      <w:r>
        <w:rPr>
          <w:rFonts w:hint="cs"/>
          <w:b/>
          <w:bCs/>
          <w:rtl/>
        </w:rPr>
        <w:t>עודד פורר</w:t>
      </w:r>
      <w:r>
        <w:br/>
      </w:r>
      <w:r>
        <w:rPr>
          <w:rFonts w:hint="cs"/>
          <w:b/>
          <w:bCs/>
          <w:rtl/>
        </w:rPr>
        <w:t xml:space="preserve"> </w:t>
      </w:r>
      <w:r>
        <w:tab/>
      </w:r>
      <w:r>
        <w:tab/>
      </w:r>
      <w:r>
        <w:tab/>
      </w:r>
      <w:r>
        <w:tab/>
      </w:r>
      <w:r>
        <w:rPr>
          <w:rFonts w:hint="cs"/>
          <w:b/>
          <w:bCs/>
          <w:rtl/>
        </w:rPr>
        <w:t>שולי מועלם-רפאלי</w:t>
      </w:r>
      <w:r>
        <w:br/>
      </w:r>
      <w:r>
        <w:rPr>
          <w:rFonts w:hint="cs"/>
          <w:b/>
          <w:bCs/>
          <w:rtl/>
        </w:rPr>
        <w:t xml:space="preserve"> </w:t>
      </w:r>
      <w:r>
        <w:tab/>
      </w:r>
      <w:r>
        <w:tab/>
      </w:r>
      <w:r>
        <w:tab/>
      </w:r>
      <w:r>
        <w:tab/>
      </w:r>
      <w:r>
        <w:rPr>
          <w:rFonts w:hint="cs"/>
          <w:b/>
          <w:bCs/>
          <w:rtl/>
        </w:rPr>
        <w:t>אורן אסף חזן</w:t>
      </w:r>
      <w:r>
        <w:br/>
      </w:r>
      <w:r>
        <w:rPr>
          <w:rFonts w:hint="cs"/>
          <w:b/>
          <w:bCs/>
          <w:rtl/>
        </w:rPr>
        <w:t xml:space="preserve"> </w:t>
      </w:r>
      <w:r>
        <w:tab/>
      </w:r>
      <w:r>
        <w:tab/>
      </w:r>
      <w:r>
        <w:tab/>
      </w:r>
      <w:r>
        <w:tab/>
      </w:r>
      <w:r>
        <w:rPr>
          <w:rFonts w:hint="cs"/>
          <w:b/>
          <w:bCs/>
          <w:rtl/>
        </w:rPr>
        <w:t>יהודה גליק</w:t>
      </w:r>
      <w:r>
        <w:br/>
      </w:r>
      <w:r>
        <w:rPr>
          <w:rFonts w:hint="cs"/>
          <w:b/>
          <w:bCs/>
          <w:rtl/>
        </w:rPr>
        <w:t xml:space="preserve"> </w:t>
      </w:r>
      <w:r>
        <w:tab/>
      </w:r>
      <w:r>
        <w:tab/>
      </w:r>
      <w:r>
        <w:tab/>
      </w:r>
      <w:r>
        <w:tab/>
      </w:r>
      <w:r>
        <w:rPr>
          <w:rFonts w:hint="cs"/>
          <w:b/>
          <w:bCs/>
          <w:rtl/>
        </w:rPr>
        <w:t>מירב בן ארי</w:t>
      </w:r>
      <w:r>
        <w:br/>
      </w:r>
      <w:r>
        <w:rPr>
          <w:rFonts w:hint="cs"/>
          <w:b/>
          <w:bCs/>
          <w:rtl/>
        </w:rPr>
        <w:t xml:space="preserve"> </w:t>
      </w:r>
      <w:r>
        <w:tab/>
      </w:r>
      <w:r>
        <w:tab/>
      </w:r>
      <w:r>
        <w:tab/>
      </w:r>
      <w:r>
        <w:tab/>
      </w:r>
      <w:r>
        <w:rPr>
          <w:rFonts w:hint="cs"/>
          <w:b/>
          <w:bCs/>
          <w:rtl/>
        </w:rPr>
        <w:t>קארין אלהרר</w:t>
      </w:r>
      <w:r>
        <w:br/>
      </w:r>
      <w:r>
        <w:rPr>
          <w:rFonts w:hint="cs"/>
          <w:b/>
          <w:bCs/>
          <w:rtl/>
        </w:rPr>
        <w:t xml:space="preserve"> </w:t>
      </w:r>
      <w:r>
        <w:tab/>
      </w:r>
      <w:r>
        <w:tab/>
      </w:r>
      <w:r>
        <w:tab/>
      </w:r>
      <w:r>
        <w:tab/>
      </w:r>
      <w:r>
        <w:rPr>
          <w:rFonts w:hint="cs"/>
          <w:b/>
          <w:bCs/>
          <w:rtl/>
        </w:rPr>
        <w:t>אורלי לוי אבקסיס</w:t>
      </w:r>
      <w:r>
        <w:br/>
      </w:r>
      <w:r>
        <w:rPr>
          <w:rFonts w:hint="cs"/>
          <w:b/>
          <w:bCs/>
          <w:rtl/>
        </w:rPr>
        <w:t xml:space="preserve"> </w:t>
      </w:r>
      <w:r>
        <w:tab/>
      </w:r>
      <w:r>
        <w:tab/>
      </w:r>
      <w:r>
        <w:tab/>
      </w:r>
      <w:r>
        <w:tab/>
      </w:r>
      <w:r>
        <w:rPr>
          <w:rFonts w:hint="cs"/>
          <w:b/>
          <w:bCs/>
          <w:rtl/>
        </w:rPr>
        <w:t>מיקי לוי</w:t>
      </w:r>
      <w:r>
        <w:br/>
      </w:r>
      <w:r>
        <w:rPr>
          <w:rFonts w:hint="cs"/>
          <w:b/>
          <w:bCs/>
          <w:rtl/>
        </w:rPr>
        <w:t xml:space="preserve"> </w:t>
      </w:r>
      <w:r>
        <w:tab/>
      </w:r>
      <w:r>
        <w:tab/>
      </w:r>
      <w:r>
        <w:tab/>
      </w:r>
      <w:r>
        <w:tab/>
      </w:r>
      <w:r>
        <w:rPr>
          <w:rFonts w:hint="cs"/>
          <w:b/>
          <w:bCs/>
          <w:rtl/>
        </w:rPr>
        <w:t>אלעזר שטרן</w:t>
      </w:r>
      <w:r>
        <w:br/>
      </w:r>
      <w:r>
        <w:rPr>
          <w:rFonts w:hint="cs"/>
          <w:b/>
          <w:bCs/>
          <w:rtl/>
        </w:rPr>
        <w:t xml:space="preserve"> </w:t>
      </w:r>
      <w:r>
        <w:tab/>
      </w:r>
      <w:r>
        <w:tab/>
      </w:r>
      <w:r>
        <w:tab/>
      </w:r>
      <w:r>
        <w:tab/>
      </w:r>
      <w:r>
        <w:rPr>
          <w:rFonts w:hint="cs"/>
          <w:b/>
          <w:bCs/>
          <w:rtl/>
        </w:rPr>
        <w:t>דב חנין</w:t>
      </w:r>
      <w:bookmarkEnd w:id="3"/>
    </w:p>
    <w:p w:rsidRPr="00904591" w:rsidR="00904591" w:rsidP="0036422C" w:rsidRDefault="00266D86" w14:paraId="34DB4103" w14:textId="77777777">
      <w:pPr>
        <w:pStyle w:val="David"/>
        <w:spacing w:before="0" w:line="360" w:lineRule="auto"/>
        <w:ind w:left="3544"/>
        <w:rPr>
          <w:sz w:val="4"/>
          <w:szCs w:val="4"/>
          <w:rtl/>
        </w:rPr>
      </w:pPr>
      <w:r>
        <w:t>____</w:t>
      </w:r>
      <w:r w:rsidR="00E374F2">
        <w:t>__</w:t>
      </w:r>
      <w:r>
        <w:t>________________________________________</w:t>
      </w:r>
      <w:r w:rsidRPr="00E06736" w:rsidR="00E06736">
        <w:tab/>
      </w:r>
      <w:r w:rsidRPr="00E06736" w:rsidR="00E13C27">
        <w:rPr>
          <w:rFonts w:hint="cs"/>
          <w:rtl/>
        </w:rPr>
        <w:tab/>
      </w:r>
      <w:r w:rsidRPr="00E06736" w:rsidR="00E13C27">
        <w:rPr>
          <w:rFonts w:hint="cs"/>
          <w:rtl/>
        </w:rPr>
        <w:tab/>
      </w:r>
      <w:r w:rsidRPr="00E06736" w:rsidR="00E13C27">
        <w:rPr>
          <w:rFonts w:hint="cs"/>
          <w:rtl/>
        </w:rPr>
        <w:tab/>
      </w:r>
      <w:r w:rsidR="00904591">
        <w:t xml:space="preserve">           </w:t>
      </w:r>
    </w:p>
    <w:p w:rsidRPr="00E06736" w:rsidR="00E13C27" w:rsidP="00904591" w:rsidRDefault="00904591" w14:paraId="7F6961AB" w14:textId="256138AA">
      <w:pPr>
        <w:pStyle w:val="David"/>
        <w:spacing w:before="0" w:line="240" w:lineRule="auto"/>
        <w:ind w:left="3544"/>
        <w:rPr>
          <w:rtl/>
        </w:rPr>
      </w:pPr>
      <w:r>
        <w:t xml:space="preserve">                                            </w:t>
      </w:r>
      <w:r w:rsidR="008F1308">
        <w:t xml:space="preserve"> </w:t>
      </w:r>
      <w:bookmarkStart w:name="Private_Number" w:id="4"/>
      <w:r>
        <w:rPr>
          <w:rFonts w:hint="cs"/>
          <w:rtl/>
        </w:rPr>
        <w:t xml:space="preserve">פ/3554/20</w:t>
      </w:r>
      <w:bookmarkEnd w:id="4"/>
    </w:p>
    <w:p w:rsidR="00E13C27" w:rsidP="00E13C27" w:rsidRDefault="00E13C27" w14:paraId="7F6961AC" w14:textId="77777777">
      <w:pPr>
        <w:spacing w:before="0" w:line="360" w:lineRule="auto"/>
        <w:ind w:left="2880" w:firstLine="720"/>
        <w:rPr>
          <w:rFonts w:cs="David"/>
          <w:sz w:val="26"/>
          <w:szCs w:val="26"/>
          <w:rtl/>
        </w:rPr>
      </w:pPr>
    </w:p>
    <w:p w:rsidRPr="00F67051" w:rsidR="00E13C27" w:rsidP="005B2E05" w:rsidRDefault="00171A51" w14:paraId="7F6961AD" w14:textId="787DE7BE">
      <w:pPr>
        <w:pStyle w:val="HeadHatzaotHok"/>
        <w:rPr>
          <w:rtl/>
        </w:rPr>
      </w:pPr>
      <w:bookmarkStart w:name="LGS_Subject" w:id="5"/>
      <w:r>
        <w:rPr>
          <w:rFonts w:hint="cs"/>
          <w:rtl/>
        </w:rPr>
        <w:t>הצעת חוק חובת אזהרה על גבי מוצרי הימורים, התשע"ז–2016</w:t>
      </w:r>
      <w:bookmarkEnd w:id="5"/>
    </w:p>
    <w:p w:rsidR="00E13C27" w:rsidP="0021633A" w:rsidRDefault="00E13C27" w14:paraId="7F6961AE" w14:textId="77777777">
      <w:pPr>
        <w:pStyle w:val="HeadDivreiHesber"/>
        <w:spacing w:before="0" w:after="0"/>
        <w:rPr>
          <w:rtl/>
        </w:rPr>
      </w:pPr>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7146"/>
      </w:tblGrid>
      <w:tr w:rsidR="002F1D80" w:rsidTr="002C3041" w14:paraId="035EEF3D" w14:textId="77777777">
        <w:trPr>
          <w:cantSplit/>
          <w:trHeight w:val="60"/>
        </w:trPr>
        <w:tc>
          <w:tcPr>
            <w:tcW w:w="1871" w:type="dxa"/>
          </w:tcPr>
          <w:p w:rsidR="002F1D80" w:rsidP="002C3041" w:rsidRDefault="00DD375D" w14:paraId="3863FF98" w14:textId="356ED75C">
            <w:pPr>
              <w:pStyle w:val="TableSideHeading"/>
              <w:keepLines w:val="0"/>
            </w:pPr>
            <w:r>
              <w:rPr>
                <w:rFonts w:hint="cs"/>
                <w:rtl/>
              </w:rPr>
              <w:t>הגדרות</w:t>
            </w:r>
          </w:p>
        </w:tc>
        <w:tc>
          <w:tcPr>
            <w:tcW w:w="624" w:type="dxa"/>
          </w:tcPr>
          <w:p w:rsidR="002F1D80" w:rsidP="00DD375D" w:rsidRDefault="002F1D80" w14:paraId="6F513EF6" w14:textId="4123A152">
            <w:pPr>
              <w:pStyle w:val="TableText"/>
              <w:keepLines w:val="0"/>
              <w:numPr>
                <w:ilvl w:val="0"/>
                <w:numId w:val="15"/>
              </w:numPr>
            </w:pPr>
          </w:p>
        </w:tc>
        <w:tc>
          <w:tcPr>
            <w:tcW w:w="7146" w:type="dxa"/>
          </w:tcPr>
          <w:p w:rsidRPr="00C34DE2" w:rsidR="002F1D80" w:rsidP="002A15F1" w:rsidRDefault="00DD375D" w14:paraId="1AE94DEB" w14:textId="09202423">
            <w:pPr>
              <w:pStyle w:val="TableHead"/>
              <w:keepLines w:val="0"/>
              <w:jc w:val="left"/>
            </w:pPr>
            <w:r>
              <w:rPr>
                <w:rFonts w:hint="cs"/>
                <w:b w:val="0"/>
                <w:bCs w:val="0"/>
                <w:rtl/>
              </w:rPr>
              <w:t xml:space="preserve">בחוק זה </w:t>
            </w:r>
            <w:r w:rsidR="00754E54">
              <w:rPr>
                <w:rFonts w:hint="eastAsia"/>
                <w:b w:val="0"/>
                <w:bCs w:val="0"/>
              </w:rPr>
              <w:t>–</w:t>
            </w:r>
          </w:p>
        </w:tc>
      </w:tr>
      <w:tr w:rsidR="002F1D80" w:rsidTr="002C3041" w14:paraId="3D9B61D1" w14:textId="51303FC3">
        <w:trPr>
          <w:cantSplit/>
          <w:trHeight w:val="60"/>
        </w:trPr>
        <w:tc>
          <w:tcPr>
            <w:tcW w:w="1871" w:type="dxa"/>
          </w:tcPr>
          <w:p w:rsidR="002F1D80" w:rsidP="002C3041" w:rsidRDefault="002F1D80" w14:paraId="6C0CB9D8" w14:textId="7BDDDFC4">
            <w:pPr>
              <w:pStyle w:val="TableSideHeading"/>
              <w:keepLines w:val="0"/>
            </w:pPr>
          </w:p>
        </w:tc>
        <w:tc>
          <w:tcPr>
            <w:tcW w:w="624" w:type="dxa"/>
          </w:tcPr>
          <w:p w:rsidR="002F1D80" w:rsidP="002C3041" w:rsidRDefault="002F1D80" w14:paraId="3F4286A2" w14:textId="528A4718">
            <w:pPr>
              <w:pStyle w:val="TableText"/>
              <w:keepLines w:val="0"/>
            </w:pPr>
          </w:p>
        </w:tc>
        <w:tc>
          <w:tcPr>
            <w:tcW w:w="7146" w:type="dxa"/>
          </w:tcPr>
          <w:p w:rsidRPr="009630A6" w:rsidR="002F1D80" w:rsidP="00046431" w:rsidRDefault="00DD375D" w14:paraId="7633D5BB" w14:textId="4A4DEB94">
            <w:pPr>
              <w:pStyle w:val="TableBlockOutdent"/>
            </w:pPr>
            <w:r w:rsidRPr="009630A6">
              <w:rPr>
                <w:rtl/>
              </w:rPr>
              <w:t xml:space="preserve">"הגרלה" </w:t>
            </w:r>
            <w:r w:rsidRPr="009630A6" w:rsidR="00754E54">
              <w:rPr>
                <w:rFonts w:hint="eastAsia"/>
                <w:rtl/>
              </w:rPr>
              <w:t>–</w:t>
            </w:r>
            <w:r w:rsidRPr="009630A6" w:rsidR="00754E54">
              <w:t xml:space="preserve"> </w:t>
            </w:r>
            <w:r w:rsidRPr="009630A6">
              <w:rPr>
                <w:rtl/>
              </w:rPr>
              <w:t>כל הסדר שלפיו ניתן, בהעלאת גורלות או באמצעי אחר, לזכות בכסף, בשווה כסף או בטובת הנאה, והזכייה תלויה בגורל יותר מאשר בהבנה או ביכול</w:t>
            </w:r>
            <w:r w:rsidRPr="009630A6">
              <w:rPr>
                <w:rFonts w:hint="eastAsia"/>
                <w:rtl/>
              </w:rPr>
              <w:t>ת</w:t>
            </w:r>
            <w:r w:rsidR="009630A6">
              <w:rPr>
                <w:rFonts w:hint="cs"/>
                <w:rtl/>
              </w:rPr>
              <w:t>";</w:t>
            </w:r>
          </w:p>
        </w:tc>
      </w:tr>
      <w:tr w:rsidR="00DD375D" w:rsidTr="002C3041" w14:paraId="00230B97" w14:textId="0C5C57AB">
        <w:trPr>
          <w:cantSplit/>
          <w:trHeight w:val="60"/>
        </w:trPr>
        <w:tc>
          <w:tcPr>
            <w:tcW w:w="1871" w:type="dxa"/>
          </w:tcPr>
          <w:p w:rsidR="00DD375D" w:rsidP="002C3041" w:rsidRDefault="00DD375D" w14:paraId="57DBD364" w14:textId="430AFA06">
            <w:pPr>
              <w:pStyle w:val="TableSideHeading"/>
              <w:keepLines w:val="0"/>
            </w:pPr>
          </w:p>
        </w:tc>
        <w:tc>
          <w:tcPr>
            <w:tcW w:w="624" w:type="dxa"/>
          </w:tcPr>
          <w:p w:rsidR="00DD375D" w:rsidP="002C3041" w:rsidRDefault="00DD375D" w14:paraId="27499273" w14:textId="17269E62">
            <w:pPr>
              <w:pStyle w:val="TableText"/>
              <w:keepLines w:val="0"/>
            </w:pPr>
          </w:p>
        </w:tc>
        <w:tc>
          <w:tcPr>
            <w:tcW w:w="7146" w:type="dxa"/>
          </w:tcPr>
          <w:p w:rsidRPr="009630A6" w:rsidR="00DD375D" w:rsidP="00046431" w:rsidRDefault="000C05D1" w14:paraId="4C840790" w14:textId="25591111">
            <w:pPr>
              <w:pStyle w:val="TableBlockOutdent"/>
              <w:rPr>
                <w:rtl/>
              </w:rPr>
            </w:pPr>
            <w:r>
              <w:rPr>
                <w:rtl/>
              </w:rPr>
              <w:t>"כרטיס הימורים"</w:t>
            </w:r>
            <w:r>
              <w:rPr>
                <w:rFonts w:hint="cs"/>
                <w:rtl/>
              </w:rPr>
              <w:t xml:space="preserve"> </w:t>
            </w:r>
            <w:r w:rsidRPr="009630A6" w:rsidR="00754E54">
              <w:rPr>
                <w:rFonts w:hint="eastAsia"/>
                <w:rtl/>
              </w:rPr>
              <w:t>–</w:t>
            </w:r>
            <w:r>
              <w:rPr>
                <w:rFonts w:hint="cs"/>
                <w:rtl/>
              </w:rPr>
              <w:t xml:space="preserve"> </w:t>
            </w:r>
            <w:r w:rsidRPr="009630A6" w:rsidR="00DD375D">
              <w:rPr>
                <w:rtl/>
              </w:rPr>
              <w:t xml:space="preserve">מסמך פיזי או אלקטרוני </w:t>
            </w:r>
            <w:r w:rsidR="009A1E16">
              <w:rPr>
                <w:rFonts w:hint="cs"/>
                <w:rtl/>
              </w:rPr>
              <w:t>ש</w:t>
            </w:r>
            <w:r w:rsidRPr="009630A6" w:rsidR="00DD375D">
              <w:rPr>
                <w:rtl/>
              </w:rPr>
              <w:t xml:space="preserve">באמצעותו רוכש צרכן </w:t>
            </w:r>
            <w:r w:rsidR="009A1E16">
              <w:rPr>
                <w:rFonts w:hint="cs"/>
                <w:rtl/>
              </w:rPr>
              <w:t>ב</w:t>
            </w:r>
            <w:r>
              <w:rPr>
                <w:rtl/>
              </w:rPr>
              <w:t>תשלום</w:t>
            </w:r>
            <w:r w:rsidRPr="009630A6" w:rsidR="00DD375D">
              <w:rPr>
                <w:rtl/>
              </w:rPr>
              <w:t xml:space="preserve"> </w:t>
            </w:r>
            <w:r w:rsidRPr="009630A6" w:rsidR="009630A6">
              <w:rPr>
                <w:rFonts w:hint="eastAsia"/>
                <w:rtl/>
              </w:rPr>
              <w:t>אפשרות</w:t>
            </w:r>
            <w:r w:rsidRPr="009630A6" w:rsidR="009630A6">
              <w:rPr>
                <w:rtl/>
              </w:rPr>
              <w:t xml:space="preserve"> </w:t>
            </w:r>
            <w:r w:rsidR="00BE3842">
              <w:rPr>
                <w:rtl/>
              </w:rPr>
              <w:t>לזכות בפרס</w:t>
            </w:r>
            <w:r w:rsidRPr="009630A6" w:rsidR="009630A6">
              <w:rPr>
                <w:rtl/>
              </w:rPr>
              <w:t>,</w:t>
            </w:r>
            <w:r w:rsidRPr="009630A6" w:rsidR="00DD375D">
              <w:rPr>
                <w:rtl/>
              </w:rPr>
              <w:t xml:space="preserve"> ברווח כספי או בכל טובת הנאה </w:t>
            </w:r>
            <w:r w:rsidRPr="009630A6" w:rsidR="009630A6">
              <w:rPr>
                <w:rtl/>
              </w:rPr>
              <w:t>אחרת, באמצעות רכיש</w:t>
            </w:r>
            <w:r w:rsidRPr="009630A6" w:rsidR="009630A6">
              <w:rPr>
                <w:rFonts w:hint="eastAsia"/>
                <w:rtl/>
              </w:rPr>
              <w:t>ת</w:t>
            </w:r>
            <w:r w:rsidRPr="009630A6" w:rsidR="009630A6">
              <w:rPr>
                <w:rtl/>
              </w:rPr>
              <w:t xml:space="preserve"> </w:t>
            </w:r>
            <w:r w:rsidR="009F08DA">
              <w:rPr>
                <w:rtl/>
              </w:rPr>
              <w:t>כרטיס או טופס</w:t>
            </w:r>
            <w:r w:rsidRPr="009630A6" w:rsidR="009630A6">
              <w:rPr>
                <w:rtl/>
              </w:rPr>
              <w:t>,</w:t>
            </w:r>
            <w:r w:rsidRPr="009630A6" w:rsidR="00DD375D">
              <w:rPr>
                <w:rtl/>
              </w:rPr>
              <w:t xml:space="preserve"> חיזוי תוצאת משחק</w:t>
            </w:r>
            <w:r w:rsidR="009F08DA">
              <w:rPr>
                <w:rFonts w:hint="cs"/>
                <w:rtl/>
              </w:rPr>
              <w:t>,</w:t>
            </w:r>
            <w:r w:rsidRPr="009630A6" w:rsidR="00DD375D">
              <w:rPr>
                <w:rtl/>
              </w:rPr>
              <w:t xml:space="preserve"> ניחוש</w:t>
            </w:r>
            <w:r w:rsidR="009F08DA">
              <w:rPr>
                <w:rFonts w:hint="cs"/>
                <w:rtl/>
              </w:rPr>
              <w:t xml:space="preserve">, או אירוע כלשהו, </w:t>
            </w:r>
            <w:r w:rsidRPr="009630A6" w:rsidR="00DD375D">
              <w:rPr>
                <w:rtl/>
              </w:rPr>
              <w:t>או</w:t>
            </w:r>
            <w:r w:rsidR="009F08DA">
              <w:rPr>
                <w:rFonts w:hint="cs"/>
                <w:rtl/>
              </w:rPr>
              <w:t xml:space="preserve"> </w:t>
            </w:r>
            <w:r w:rsidRPr="009630A6" w:rsidR="00DD375D">
              <w:rPr>
                <w:rtl/>
              </w:rPr>
              <w:t>השתתפות בהגרלה</w:t>
            </w:r>
            <w:r w:rsidRPr="009630A6" w:rsidR="009630A6">
              <w:rPr>
                <w:rtl/>
              </w:rPr>
              <w:t>,</w:t>
            </w:r>
            <w:r w:rsidRPr="009630A6" w:rsidR="00DD375D">
              <w:rPr>
                <w:rtl/>
              </w:rPr>
              <w:t xml:space="preserve"> </w:t>
            </w:r>
            <w:r w:rsidR="009F08DA">
              <w:rPr>
                <w:rFonts w:hint="cs"/>
                <w:rtl/>
              </w:rPr>
              <w:t xml:space="preserve">והכל </w:t>
            </w:r>
            <w:r w:rsidRPr="009630A6" w:rsidR="009630A6">
              <w:rPr>
                <w:rFonts w:hint="eastAsia"/>
                <w:rtl/>
              </w:rPr>
              <w:t>במצב</w:t>
            </w:r>
            <w:r w:rsidRPr="009630A6" w:rsidR="009630A6">
              <w:rPr>
                <w:rtl/>
              </w:rPr>
              <w:t xml:space="preserve"> </w:t>
            </w:r>
            <w:r w:rsidR="009A1E16">
              <w:rPr>
                <w:rFonts w:hint="cs"/>
                <w:rtl/>
              </w:rPr>
              <w:t>ש</w:t>
            </w:r>
            <w:r w:rsidRPr="009630A6" w:rsidR="009630A6">
              <w:rPr>
                <w:rFonts w:hint="eastAsia"/>
                <w:rtl/>
              </w:rPr>
              <w:t>בו</w:t>
            </w:r>
            <w:r w:rsidRPr="009630A6" w:rsidR="009630A6">
              <w:rPr>
                <w:rtl/>
              </w:rPr>
              <w:t xml:space="preserve"> </w:t>
            </w:r>
            <w:r w:rsidRPr="009630A6" w:rsidR="00DD375D">
              <w:rPr>
                <w:rtl/>
              </w:rPr>
              <w:t xml:space="preserve">תוצאות האירוע תלויות באופן חלקי או מלא במזל או ביכולתו של מישהו לבצע </w:t>
            </w:r>
            <w:r w:rsidR="009A1E16">
              <w:rPr>
                <w:rFonts w:hint="cs"/>
                <w:rtl/>
              </w:rPr>
              <w:t>פעולה כלשהי</w:t>
            </w:r>
            <w:r w:rsidRPr="009630A6" w:rsidR="00DD375D">
              <w:rPr>
                <w:rtl/>
              </w:rPr>
              <w:t>, לרבות חיזוי תוצאות משחקי ספור</w:t>
            </w:r>
            <w:r w:rsidRPr="009630A6" w:rsidR="00DD375D">
              <w:rPr>
                <w:rFonts w:hint="eastAsia"/>
                <w:rtl/>
              </w:rPr>
              <w:t>ט</w:t>
            </w:r>
            <w:r w:rsidRPr="009630A6" w:rsidR="009630A6">
              <w:rPr>
                <w:rtl/>
              </w:rPr>
              <w:t>;</w:t>
            </w:r>
          </w:p>
        </w:tc>
      </w:tr>
      <w:tr w:rsidR="00DD375D" w:rsidTr="002C3041" w14:paraId="08D4BF54" w14:textId="0A4AE638">
        <w:trPr>
          <w:cantSplit/>
          <w:trHeight w:val="60"/>
        </w:trPr>
        <w:tc>
          <w:tcPr>
            <w:tcW w:w="1871" w:type="dxa"/>
          </w:tcPr>
          <w:p w:rsidR="00DD375D" w:rsidP="002C3041" w:rsidRDefault="00DD375D" w14:paraId="5E1CD9FB" w14:textId="57DCC8F3">
            <w:pPr>
              <w:pStyle w:val="TableSideHeading"/>
              <w:keepLines w:val="0"/>
            </w:pPr>
          </w:p>
        </w:tc>
        <w:tc>
          <w:tcPr>
            <w:tcW w:w="624" w:type="dxa"/>
          </w:tcPr>
          <w:p w:rsidR="00DD375D" w:rsidP="002C3041" w:rsidRDefault="00DD375D" w14:paraId="13E3588A" w14:textId="4C16019F">
            <w:pPr>
              <w:pStyle w:val="TableText"/>
              <w:keepLines w:val="0"/>
            </w:pPr>
          </w:p>
        </w:tc>
        <w:tc>
          <w:tcPr>
            <w:tcW w:w="7146" w:type="dxa"/>
          </w:tcPr>
          <w:p w:rsidRPr="009630A6" w:rsidR="00DD375D" w:rsidP="009F08DA" w:rsidRDefault="00DD375D" w14:paraId="13C85E42" w14:textId="7B44C85D">
            <w:pPr>
              <w:pStyle w:val="TableBlockOutdent"/>
              <w:rPr>
                <w:rtl/>
              </w:rPr>
            </w:pPr>
            <w:r w:rsidRPr="009630A6">
              <w:rPr>
                <w:rtl/>
              </w:rPr>
              <w:t xml:space="preserve">"עוסק" </w:t>
            </w:r>
            <w:r w:rsidRPr="009630A6" w:rsidR="00754E54">
              <w:rPr>
                <w:rFonts w:hint="eastAsia"/>
                <w:rtl/>
              </w:rPr>
              <w:t>–</w:t>
            </w:r>
            <w:r w:rsidR="009F08DA">
              <w:rPr>
                <w:rFonts w:hint="cs"/>
                <w:rtl/>
              </w:rPr>
              <w:t xml:space="preserve"> מי </w:t>
            </w:r>
            <w:r w:rsidR="009A1E16">
              <w:rPr>
                <w:rFonts w:hint="cs"/>
                <w:rtl/>
              </w:rPr>
              <w:t>ש</w:t>
            </w:r>
            <w:r w:rsidRPr="009630A6">
              <w:rPr>
                <w:rtl/>
              </w:rPr>
              <w:t xml:space="preserve">מוכר נכס או נותן שירות דרך עיסוק, לרבות </w:t>
            </w:r>
            <w:r w:rsidRPr="009630A6" w:rsidR="009630A6">
              <w:rPr>
                <w:rFonts w:hint="eastAsia"/>
                <w:rtl/>
              </w:rPr>
              <w:t>יצרן</w:t>
            </w:r>
            <w:r w:rsidRPr="009630A6" w:rsidR="009630A6">
              <w:rPr>
                <w:rtl/>
              </w:rPr>
              <w:t xml:space="preserve">, </w:t>
            </w:r>
            <w:r w:rsidR="009A1E16">
              <w:rPr>
                <w:rFonts w:hint="cs"/>
                <w:rtl/>
              </w:rPr>
              <w:t>ו</w:t>
            </w:r>
            <w:r w:rsidRPr="009630A6" w:rsidR="009630A6">
              <w:rPr>
                <w:rtl/>
              </w:rPr>
              <w:t xml:space="preserve">גוף </w:t>
            </w:r>
            <w:r w:rsidRPr="009630A6">
              <w:rPr>
                <w:rtl/>
              </w:rPr>
              <w:t>ציבורי</w:t>
            </w:r>
            <w:r w:rsidRPr="009630A6" w:rsidR="00777B55">
              <w:rPr>
                <w:rtl/>
              </w:rPr>
              <w:t>;</w:t>
            </w:r>
            <w:r w:rsidR="009F08DA">
              <w:rPr>
                <w:rtl/>
              </w:rPr>
              <w:t xml:space="preserve"> </w:t>
            </w:r>
          </w:p>
        </w:tc>
      </w:tr>
      <w:tr w:rsidR="00DD375D" w:rsidTr="002C3041" w14:paraId="5DEEAE33" w14:textId="17804439">
        <w:trPr>
          <w:cantSplit/>
          <w:trHeight w:val="60"/>
        </w:trPr>
        <w:tc>
          <w:tcPr>
            <w:tcW w:w="1871" w:type="dxa"/>
          </w:tcPr>
          <w:p w:rsidR="00DD375D" w:rsidP="002C3041" w:rsidRDefault="00DD375D" w14:paraId="44D28C6F" w14:textId="766EB747">
            <w:pPr>
              <w:pStyle w:val="TableSideHeading"/>
              <w:keepLines w:val="0"/>
            </w:pPr>
          </w:p>
        </w:tc>
        <w:tc>
          <w:tcPr>
            <w:tcW w:w="624" w:type="dxa"/>
          </w:tcPr>
          <w:p w:rsidR="00DD375D" w:rsidP="002C3041" w:rsidRDefault="00DD375D" w14:paraId="5C6266FF" w14:textId="107A0855">
            <w:pPr>
              <w:pStyle w:val="TableText"/>
              <w:keepLines w:val="0"/>
            </w:pPr>
          </w:p>
        </w:tc>
        <w:tc>
          <w:tcPr>
            <w:tcW w:w="7146" w:type="dxa"/>
          </w:tcPr>
          <w:p w:rsidRPr="009630A6" w:rsidR="00DD375D" w:rsidP="009F08DA" w:rsidRDefault="00DD375D" w14:paraId="46163B53" w14:textId="4630E6AE">
            <w:pPr>
              <w:pStyle w:val="TableBlockOutdent"/>
              <w:rPr>
                <w:rtl/>
              </w:rPr>
            </w:pPr>
            <w:r w:rsidRPr="009630A6">
              <w:rPr>
                <w:rtl/>
              </w:rPr>
              <w:t>"צרכן"</w:t>
            </w:r>
            <w:r w:rsidRPr="009630A6" w:rsidR="00754E54">
              <w:t xml:space="preserve"> </w:t>
            </w:r>
            <w:r w:rsidRPr="009630A6" w:rsidR="00754E54">
              <w:rPr>
                <w:rFonts w:hint="eastAsia"/>
                <w:rtl/>
              </w:rPr>
              <w:t>–</w:t>
            </w:r>
            <w:r w:rsidRPr="009630A6" w:rsidR="00754E54">
              <w:t> </w:t>
            </w:r>
            <w:r w:rsidRPr="009630A6" w:rsidR="00754E54">
              <w:rPr>
                <w:rtl/>
              </w:rPr>
              <w:t xml:space="preserve"> </w:t>
            </w:r>
            <w:r w:rsidR="009A1E16">
              <w:rPr>
                <w:rFonts w:hint="cs"/>
                <w:rtl/>
              </w:rPr>
              <w:t>מי ש</w:t>
            </w:r>
            <w:r w:rsidRPr="009630A6" w:rsidR="00754E54">
              <w:rPr>
                <w:rtl/>
              </w:rPr>
              <w:t>קונה</w:t>
            </w:r>
            <w:r w:rsidRPr="009630A6">
              <w:rPr>
                <w:rtl/>
              </w:rPr>
              <w:t xml:space="preserve"> נכס או מקבל שירות מעוסק במהלך עיסוקו לשימוש אישי</w:t>
            </w:r>
            <w:r w:rsidR="009F08DA">
              <w:rPr>
                <w:rFonts w:hint="cs"/>
                <w:rtl/>
              </w:rPr>
              <w:t>.</w:t>
            </w:r>
          </w:p>
        </w:tc>
      </w:tr>
      <w:tr w:rsidR="00374364" w:rsidTr="002C3041" w14:paraId="7BE69913" w14:textId="77777777">
        <w:trPr>
          <w:cantSplit/>
          <w:trHeight w:val="60"/>
        </w:trPr>
        <w:tc>
          <w:tcPr>
            <w:tcW w:w="1871" w:type="dxa"/>
          </w:tcPr>
          <w:p w:rsidRPr="00DD375D" w:rsidR="00374364" w:rsidP="00374364" w:rsidRDefault="00374364" w14:paraId="7B0E2222" w14:textId="77777777">
            <w:pPr>
              <w:pStyle w:val="TableSideHeading"/>
            </w:pPr>
            <w:r w:rsidRPr="00DD375D">
              <w:rPr>
                <w:rtl/>
              </w:rPr>
              <w:t>חובת ה</w:t>
            </w:r>
            <w:r>
              <w:rPr>
                <w:rFonts w:hint="cs"/>
                <w:rtl/>
              </w:rPr>
              <w:t>חלת</w:t>
            </w:r>
            <w:r w:rsidRPr="00DD375D">
              <w:rPr>
                <w:rtl/>
              </w:rPr>
              <w:t xml:space="preserve"> </w:t>
            </w:r>
          </w:p>
          <w:p w:rsidR="00374364" w:rsidP="00374364" w:rsidRDefault="00374364" w14:paraId="42A79FD7" w14:textId="68405F72">
            <w:pPr>
              <w:pStyle w:val="TableSideHeading"/>
              <w:keepLines w:val="0"/>
            </w:pPr>
            <w:r w:rsidRPr="00DD375D">
              <w:rPr>
                <w:rtl/>
              </w:rPr>
              <w:t>אזהרה</w:t>
            </w:r>
          </w:p>
        </w:tc>
        <w:tc>
          <w:tcPr>
            <w:tcW w:w="624" w:type="dxa"/>
          </w:tcPr>
          <w:p w:rsidR="00374364" w:rsidP="002C3041" w:rsidRDefault="00374364" w14:paraId="33ABC750" w14:textId="7AA99DFC">
            <w:pPr>
              <w:pStyle w:val="TableText"/>
              <w:keepLines w:val="0"/>
            </w:pPr>
            <w:r>
              <w:rPr>
                <w:rFonts w:hint="cs"/>
                <w:rtl/>
              </w:rPr>
              <w:t>2.</w:t>
            </w:r>
          </w:p>
        </w:tc>
        <w:tc>
          <w:tcPr>
            <w:tcW w:w="7146" w:type="dxa"/>
          </w:tcPr>
          <w:p w:rsidRPr="009630A6" w:rsidR="00374364" w:rsidP="00374364" w:rsidRDefault="00374364" w14:paraId="600A0820" w14:textId="4D86D9E4">
            <w:pPr>
              <w:pStyle w:val="TableBlock"/>
              <w:rPr>
                <w:rtl/>
              </w:rPr>
            </w:pPr>
            <w:r w:rsidRPr="00E52479">
              <w:rPr>
                <w:rFonts w:hint="eastAsia"/>
                <w:rtl/>
              </w:rPr>
              <w:t>ל</w:t>
            </w:r>
            <w:r w:rsidRPr="00E52479">
              <w:rPr>
                <w:rtl/>
              </w:rPr>
              <w:t>א ישווק עוסק כרטיס</w:t>
            </w:r>
            <w:r>
              <w:rPr>
                <w:rFonts w:hint="cs"/>
                <w:rtl/>
              </w:rPr>
              <w:t xml:space="preserve"> הימורים </w:t>
            </w:r>
            <w:r w:rsidRPr="00E52479">
              <w:rPr>
                <w:rtl/>
              </w:rPr>
              <w:t>אלא אם</w:t>
            </w:r>
            <w:r>
              <w:rPr>
                <w:rFonts w:hint="cs"/>
                <w:rtl/>
              </w:rPr>
              <w:t xml:space="preserve"> כן</w:t>
            </w:r>
            <w:r w:rsidRPr="00E52479">
              <w:rPr>
                <w:rtl/>
              </w:rPr>
              <w:t xml:space="preserve"> </w:t>
            </w:r>
            <w:r w:rsidRPr="00E52479">
              <w:rPr>
                <w:rFonts w:hint="eastAsia"/>
                <w:rtl/>
              </w:rPr>
              <w:t>כלולה</w:t>
            </w:r>
            <w:r w:rsidR="00BE3842">
              <w:rPr>
                <w:rtl/>
              </w:rPr>
              <w:t xml:space="preserve"> ב</w:t>
            </w:r>
            <w:r w:rsidR="00BE3842">
              <w:rPr>
                <w:rFonts w:hint="cs"/>
                <w:rtl/>
              </w:rPr>
              <w:t>ו</w:t>
            </w:r>
            <w:r w:rsidRPr="00E52479">
              <w:rPr>
                <w:rtl/>
              </w:rPr>
              <w:t xml:space="preserve"> אזהרה לפי הנוסח שבסעיף </w:t>
            </w:r>
            <w:r>
              <w:rPr>
                <w:rFonts w:hint="cs"/>
                <w:rtl/>
              </w:rPr>
              <w:t>3</w:t>
            </w:r>
            <w:r w:rsidRPr="00E52479">
              <w:rPr>
                <w:rtl/>
              </w:rPr>
              <w:t xml:space="preserve">; </w:t>
            </w:r>
            <w:r w:rsidRPr="00E52479">
              <w:rPr>
                <w:rFonts w:hint="eastAsia"/>
                <w:rtl/>
              </w:rPr>
              <w:t>האזהרה</w:t>
            </w:r>
            <w:r w:rsidRPr="00E52479">
              <w:rPr>
                <w:rtl/>
              </w:rPr>
              <w:t xml:space="preserve"> </w:t>
            </w:r>
            <w:r w:rsidRPr="00E52479">
              <w:rPr>
                <w:rFonts w:hint="eastAsia"/>
                <w:rtl/>
              </w:rPr>
              <w:t>תהיה</w:t>
            </w:r>
            <w:r w:rsidRPr="00E52479">
              <w:rPr>
                <w:rtl/>
              </w:rPr>
              <w:t xml:space="preserve"> </w:t>
            </w:r>
            <w:r w:rsidRPr="00E52479">
              <w:rPr>
                <w:rFonts w:hint="eastAsia"/>
                <w:rtl/>
              </w:rPr>
              <w:t>בשפה</w:t>
            </w:r>
            <w:r w:rsidRPr="00E52479">
              <w:rPr>
                <w:rtl/>
              </w:rPr>
              <w:t xml:space="preserve"> </w:t>
            </w:r>
            <w:r w:rsidRPr="00E52479">
              <w:rPr>
                <w:rFonts w:hint="eastAsia"/>
                <w:rtl/>
              </w:rPr>
              <w:t>העברית</w:t>
            </w:r>
            <w:r w:rsidRPr="00E52479">
              <w:rPr>
                <w:rtl/>
              </w:rPr>
              <w:t xml:space="preserve">, מודפסת או מודבקת על גבי </w:t>
            </w:r>
            <w:r>
              <w:rPr>
                <w:rFonts w:hint="cs"/>
                <w:rtl/>
              </w:rPr>
              <w:t>כרטיס</w:t>
            </w:r>
            <w:r w:rsidRPr="00E52479">
              <w:rPr>
                <w:rtl/>
              </w:rPr>
              <w:t xml:space="preserve"> ההימורים, באותיות ברורות שגודלן המזערי 8 נקודות דפוס שחור, כאשר המילה "אזהרה" </w:t>
            </w:r>
            <w:r w:rsidRPr="00E52479">
              <w:rPr>
                <w:rFonts w:hint="eastAsia"/>
                <w:rtl/>
              </w:rPr>
              <w:t>תודגש</w:t>
            </w:r>
            <w:r w:rsidRPr="00E52479">
              <w:rPr>
                <w:rtl/>
              </w:rPr>
              <w:t xml:space="preserve"> </w:t>
            </w:r>
            <w:r w:rsidRPr="00E52479">
              <w:rPr>
                <w:rFonts w:hint="eastAsia"/>
                <w:rtl/>
              </w:rPr>
              <w:t>באמצעות</w:t>
            </w:r>
            <w:r w:rsidRPr="00E52479">
              <w:rPr>
                <w:rtl/>
              </w:rPr>
              <w:t xml:space="preserve"> </w:t>
            </w:r>
            <w:r w:rsidRPr="00E52479">
              <w:rPr>
                <w:rFonts w:hint="eastAsia"/>
                <w:rtl/>
              </w:rPr>
              <w:t>קו</w:t>
            </w:r>
            <w:r w:rsidRPr="00E52479">
              <w:rPr>
                <w:rtl/>
              </w:rPr>
              <w:t xml:space="preserve"> </w:t>
            </w:r>
            <w:r w:rsidRPr="00E52479">
              <w:rPr>
                <w:rFonts w:hint="eastAsia"/>
                <w:rtl/>
              </w:rPr>
              <w:t>מתחתיה</w:t>
            </w:r>
            <w:r w:rsidRPr="00E52479">
              <w:rPr>
                <w:rtl/>
              </w:rPr>
              <w:t>.</w:t>
            </w:r>
          </w:p>
        </w:tc>
      </w:tr>
      <w:tr w:rsidR="009F08DA" w:rsidTr="002C3041" w14:paraId="44502808" w14:textId="77777777">
        <w:trPr>
          <w:cantSplit/>
          <w:trHeight w:val="60"/>
        </w:trPr>
        <w:tc>
          <w:tcPr>
            <w:tcW w:w="1871" w:type="dxa"/>
          </w:tcPr>
          <w:p w:rsidR="009F08DA" w:rsidP="009F08DA" w:rsidRDefault="009F08DA" w14:paraId="38DDF353" w14:textId="440E5E67">
            <w:pPr>
              <w:pStyle w:val="TableSideHeading"/>
              <w:keepLines w:val="0"/>
            </w:pPr>
            <w:r>
              <w:rPr>
                <w:rFonts w:hint="cs"/>
                <w:rtl/>
              </w:rPr>
              <w:t>אזהרה</w:t>
            </w:r>
          </w:p>
        </w:tc>
        <w:tc>
          <w:tcPr>
            <w:tcW w:w="624" w:type="dxa"/>
          </w:tcPr>
          <w:p w:rsidR="009F08DA" w:rsidP="009F08DA" w:rsidRDefault="009F08DA" w14:paraId="35CC80BC" w14:textId="01F1E2DB">
            <w:pPr>
              <w:pStyle w:val="TableText"/>
              <w:keepLines w:val="0"/>
            </w:pPr>
            <w:r>
              <w:rPr>
                <w:rFonts w:hint="cs"/>
                <w:rtl/>
              </w:rPr>
              <w:t>3.</w:t>
            </w:r>
          </w:p>
        </w:tc>
        <w:tc>
          <w:tcPr>
            <w:tcW w:w="7146" w:type="dxa"/>
          </w:tcPr>
          <w:p w:rsidR="009F08DA" w:rsidP="009F08DA" w:rsidRDefault="009F08DA" w14:paraId="01736E03" w14:textId="4A65F254">
            <w:pPr>
              <w:pStyle w:val="TableBlock"/>
              <w:rPr>
                <w:rtl/>
              </w:rPr>
            </w:pPr>
            <w:r>
              <w:rPr>
                <w:rFonts w:hint="cs"/>
                <w:rtl/>
              </w:rPr>
              <w:t xml:space="preserve">האזהרה תודפס או תודבק על כרטיס ההימורים </w:t>
            </w:r>
            <w:r w:rsidRPr="00E52479">
              <w:rPr>
                <w:rtl/>
              </w:rPr>
              <w:t xml:space="preserve"> באותיות דפוס בנוסח הבא: "אזהרה – הימורים עלולים להוביל לנזקים כלכליים חמורים למהמר ולבני משפחת</w:t>
            </w:r>
            <w:r w:rsidRPr="00E52479">
              <w:rPr>
                <w:rFonts w:hint="eastAsia"/>
                <w:rtl/>
              </w:rPr>
              <w:t>ו</w:t>
            </w:r>
            <w:r w:rsidRPr="00E52479">
              <w:rPr>
                <w:rtl/>
              </w:rPr>
              <w:t>".</w:t>
            </w:r>
          </w:p>
        </w:tc>
      </w:tr>
      <w:tr w:rsidR="009B4C3B" w:rsidTr="005830CB" w14:paraId="7B976924" w14:textId="77777777">
        <w:trPr>
          <w:cantSplit/>
          <w:trHeight w:val="60"/>
        </w:trPr>
        <w:tc>
          <w:tcPr>
            <w:tcW w:w="1871" w:type="dxa"/>
          </w:tcPr>
          <w:p w:rsidR="009B4C3B" w:rsidP="009F08DA" w:rsidRDefault="009B4C3B" w14:paraId="534F7E69" w14:textId="4BA62E39">
            <w:pPr>
              <w:pStyle w:val="TableSideHeading"/>
            </w:pPr>
            <w:r>
              <w:rPr>
                <w:rFonts w:hint="cs"/>
                <w:rtl/>
              </w:rPr>
              <w:t>עונשין</w:t>
            </w:r>
          </w:p>
        </w:tc>
        <w:tc>
          <w:tcPr>
            <w:tcW w:w="624" w:type="dxa"/>
          </w:tcPr>
          <w:p w:rsidR="009B4C3B" w:rsidP="009F08DA" w:rsidRDefault="009B4C3B" w14:paraId="2BB15C96" w14:textId="2B69F102">
            <w:pPr>
              <w:pStyle w:val="TableText"/>
            </w:pPr>
            <w:r>
              <w:rPr>
                <w:rFonts w:hint="cs"/>
                <w:rtl/>
              </w:rPr>
              <w:t>4.</w:t>
            </w:r>
          </w:p>
        </w:tc>
        <w:tc>
          <w:tcPr>
            <w:tcW w:w="7146" w:type="dxa"/>
          </w:tcPr>
          <w:p w:rsidR="009B4C3B" w:rsidP="009F08DA" w:rsidRDefault="009B4C3B" w14:paraId="143620DD" w14:textId="4961D505">
            <w:pPr>
              <w:pStyle w:val="TableBlock"/>
            </w:pPr>
            <w:r>
              <w:rPr>
                <w:rFonts w:hint="cs"/>
                <w:rtl/>
              </w:rPr>
              <w:t>(א)</w:t>
            </w:r>
            <w:r>
              <w:rPr>
                <w:rtl/>
              </w:rPr>
              <w:tab/>
            </w:r>
            <w:r>
              <w:rPr>
                <w:rFonts w:hint="cs"/>
                <w:rtl/>
              </w:rPr>
              <w:t>ה</w:t>
            </w:r>
            <w:r w:rsidRPr="00DD375D">
              <w:rPr>
                <w:rtl/>
              </w:rPr>
              <w:t>מפר הוראות חוק זה</w:t>
            </w:r>
            <w:r w:rsidR="00BE3842">
              <w:rPr>
                <w:rFonts w:hint="cs"/>
                <w:rtl/>
              </w:rPr>
              <w:t>,</w:t>
            </w:r>
            <w:r w:rsidRPr="00DD375D">
              <w:rPr>
                <w:rtl/>
              </w:rPr>
              <w:t xml:space="preserve"> דינו – קנס עד 100 אלף שקלים חדשים</w:t>
            </w:r>
            <w:r w:rsidRPr="00DD375D">
              <w:t>.</w:t>
            </w:r>
          </w:p>
        </w:tc>
      </w:tr>
      <w:tr w:rsidR="009B4C3B" w:rsidTr="000D133A" w14:paraId="62133782" w14:textId="77777777">
        <w:trPr>
          <w:cantSplit/>
          <w:trHeight w:val="60"/>
        </w:trPr>
        <w:tc>
          <w:tcPr>
            <w:tcW w:w="1871" w:type="dxa"/>
          </w:tcPr>
          <w:p w:rsidR="009B4C3B" w:rsidP="009F08DA" w:rsidRDefault="009B4C3B" w14:paraId="07CD7BD1" w14:textId="77777777">
            <w:pPr>
              <w:pStyle w:val="TableSideHeading"/>
              <w:rPr>
                <w:rtl/>
              </w:rPr>
            </w:pPr>
          </w:p>
        </w:tc>
        <w:tc>
          <w:tcPr>
            <w:tcW w:w="624" w:type="dxa"/>
          </w:tcPr>
          <w:p w:rsidR="009B4C3B" w:rsidP="009F08DA" w:rsidRDefault="009B4C3B" w14:paraId="7113C568" w14:textId="77777777">
            <w:pPr>
              <w:pStyle w:val="TableText"/>
            </w:pPr>
          </w:p>
        </w:tc>
        <w:tc>
          <w:tcPr>
            <w:tcW w:w="7146" w:type="dxa"/>
          </w:tcPr>
          <w:p w:rsidR="009B4C3B" w:rsidP="009F08DA" w:rsidRDefault="009B4C3B" w14:paraId="0EC62201" w14:textId="4933B824">
            <w:pPr>
              <w:pStyle w:val="TableBlock"/>
              <w:rPr>
                <w:rtl/>
              </w:rPr>
            </w:pPr>
            <w:r>
              <w:rPr>
                <w:rFonts w:hint="cs"/>
                <w:rtl/>
              </w:rPr>
              <w:t>(ב)</w:t>
            </w:r>
            <w:r>
              <w:rPr>
                <w:rtl/>
              </w:rPr>
              <w:tab/>
            </w:r>
            <w:r>
              <w:rPr>
                <w:rFonts w:hint="cs"/>
                <w:rtl/>
              </w:rPr>
              <w:t>התעורר</w:t>
            </w:r>
            <w:r w:rsidRPr="00DD375D">
              <w:rPr>
                <w:rtl/>
              </w:rPr>
              <w:t xml:space="preserve"> חשד</w:t>
            </w:r>
            <w:r>
              <w:rPr>
                <w:rFonts w:hint="cs"/>
                <w:rtl/>
              </w:rPr>
              <w:t xml:space="preserve"> סביר כי הפר אדם הוראות לפי חוק זה הפרה חוזרת, רשאי מי ששר האוצר הסמיך לכך </w:t>
            </w:r>
            <w:r w:rsidRPr="00DD375D">
              <w:rPr>
                <w:rtl/>
              </w:rPr>
              <w:t xml:space="preserve">לאסור </w:t>
            </w:r>
            <w:r>
              <w:rPr>
                <w:rFonts w:hint="cs"/>
                <w:rtl/>
              </w:rPr>
              <w:t xml:space="preserve">על משווק למכור </w:t>
            </w:r>
            <w:r w:rsidRPr="00DD375D">
              <w:rPr>
                <w:rtl/>
              </w:rPr>
              <w:t>כרטיסי הימורים עד לתיקון ההפר</w:t>
            </w:r>
            <w:r>
              <w:rPr>
                <w:rFonts w:hint="cs"/>
                <w:rtl/>
              </w:rPr>
              <w:t xml:space="preserve">ה. </w:t>
            </w:r>
          </w:p>
        </w:tc>
      </w:tr>
      <w:tr w:rsidR="009F08DA" w:rsidTr="006F7992" w14:paraId="46B38C1A" w14:textId="77777777">
        <w:trPr>
          <w:cantSplit/>
          <w:trHeight w:val="60"/>
        </w:trPr>
        <w:tc>
          <w:tcPr>
            <w:tcW w:w="1871" w:type="dxa"/>
          </w:tcPr>
          <w:p w:rsidR="009F08DA" w:rsidP="009F08DA" w:rsidRDefault="009F08DA" w14:paraId="22DB74B4" w14:textId="670F2148">
            <w:pPr>
              <w:pStyle w:val="TableSideHeading"/>
              <w:rPr>
                <w:rtl/>
              </w:rPr>
            </w:pPr>
            <w:r>
              <w:rPr>
                <w:rFonts w:hint="cs"/>
                <w:rtl/>
              </w:rPr>
              <w:t>ביצוע ותקנות</w:t>
            </w:r>
          </w:p>
        </w:tc>
        <w:tc>
          <w:tcPr>
            <w:tcW w:w="624" w:type="dxa"/>
          </w:tcPr>
          <w:p w:rsidR="009F08DA" w:rsidP="009F08DA" w:rsidRDefault="009F08DA" w14:paraId="5818D55C" w14:textId="4A7CA6D7">
            <w:pPr>
              <w:pStyle w:val="TableText"/>
            </w:pPr>
            <w:r>
              <w:rPr>
                <w:rFonts w:hint="cs"/>
                <w:rtl/>
              </w:rPr>
              <w:t>5.</w:t>
            </w:r>
          </w:p>
        </w:tc>
        <w:tc>
          <w:tcPr>
            <w:tcW w:w="7146" w:type="dxa"/>
          </w:tcPr>
          <w:p w:rsidR="009F08DA" w:rsidP="009F08DA" w:rsidRDefault="009F08DA" w14:paraId="57A7429E" w14:textId="774CAB3A">
            <w:pPr>
              <w:pStyle w:val="TableBlock"/>
              <w:rPr>
                <w:rtl/>
              </w:rPr>
            </w:pPr>
            <w:r w:rsidRPr="00E52479">
              <w:rPr>
                <w:rFonts w:hint="eastAsia"/>
                <w:rtl/>
              </w:rPr>
              <w:t>שר</w:t>
            </w:r>
            <w:r>
              <w:rPr>
                <w:rtl/>
              </w:rPr>
              <w:t xml:space="preserve"> האוצר</w:t>
            </w:r>
            <w:r>
              <w:rPr>
                <w:rFonts w:hint="cs"/>
                <w:rtl/>
              </w:rPr>
              <w:t xml:space="preserve"> ממונה על ביצוע חוק זה והוא רשאי, </w:t>
            </w:r>
            <w:r w:rsidR="00374364">
              <w:rPr>
                <w:rFonts w:hint="cs"/>
                <w:rtl/>
              </w:rPr>
              <w:t xml:space="preserve">באישור </w:t>
            </w:r>
            <w:r>
              <w:rPr>
                <w:rFonts w:hint="cs"/>
                <w:rtl/>
              </w:rPr>
              <w:t xml:space="preserve">ועדת הכלכלה של הכנסת, להתקין תקנות לביצועו, ובכלל זה </w:t>
            </w:r>
            <w:r w:rsidRPr="00E52479">
              <w:rPr>
                <w:rtl/>
              </w:rPr>
              <w:t>לשנות את נוסח האזהרה, לרבות קביעת נוסחי אזהרה שונים ומתחלפים מעת לעת, וכן לשנות את גודל ה</w:t>
            </w:r>
            <w:r w:rsidRPr="00E52479">
              <w:rPr>
                <w:rFonts w:hint="eastAsia"/>
                <w:rtl/>
              </w:rPr>
              <w:t>אותיות</w:t>
            </w:r>
            <w:r w:rsidRPr="00E52479">
              <w:rPr>
                <w:rtl/>
              </w:rPr>
              <w:t xml:space="preserve"> </w:t>
            </w:r>
            <w:r w:rsidRPr="00E52479">
              <w:rPr>
                <w:rFonts w:hint="eastAsia"/>
                <w:rtl/>
              </w:rPr>
              <w:t>ה</w:t>
            </w:r>
            <w:r w:rsidRPr="00E52479">
              <w:rPr>
                <w:rtl/>
              </w:rPr>
              <w:t>מזערי באזהרה ו</w:t>
            </w:r>
            <w:r w:rsidRPr="00E52479">
              <w:rPr>
                <w:rFonts w:hint="eastAsia"/>
                <w:rtl/>
              </w:rPr>
              <w:t>קביעת</w:t>
            </w:r>
            <w:r w:rsidRPr="00E52479">
              <w:rPr>
                <w:rtl/>
              </w:rPr>
              <w:t xml:space="preserve"> הוראות בדבר מיקום האזהרות, עיצובן, </w:t>
            </w:r>
            <w:r>
              <w:rPr>
                <w:rtl/>
              </w:rPr>
              <w:t>צורתן ואופן החלפת נוסחי האזהרות</w:t>
            </w:r>
            <w:r>
              <w:rPr>
                <w:rFonts w:hint="cs"/>
                <w:rtl/>
              </w:rPr>
              <w:t>.</w:t>
            </w:r>
          </w:p>
        </w:tc>
      </w:tr>
      <w:tr w:rsidR="009F08DA" w:rsidTr="003864DF" w14:paraId="4B378622" w14:textId="77777777">
        <w:trPr>
          <w:cantSplit/>
          <w:trHeight w:val="60"/>
        </w:trPr>
        <w:tc>
          <w:tcPr>
            <w:tcW w:w="1871" w:type="dxa"/>
          </w:tcPr>
          <w:p w:rsidR="009F08DA" w:rsidP="009F08DA" w:rsidRDefault="009F08DA" w14:paraId="79607A1E" w14:textId="4E925281">
            <w:pPr>
              <w:pStyle w:val="TableSideHeading"/>
              <w:rPr>
                <w:rtl/>
              </w:rPr>
            </w:pPr>
            <w:r>
              <w:rPr>
                <w:rFonts w:hint="cs"/>
                <w:rtl/>
              </w:rPr>
              <w:t>תחילה</w:t>
            </w:r>
          </w:p>
        </w:tc>
        <w:tc>
          <w:tcPr>
            <w:tcW w:w="624" w:type="dxa"/>
          </w:tcPr>
          <w:p w:rsidR="009F08DA" w:rsidP="009F08DA" w:rsidRDefault="009F08DA" w14:paraId="0539CF4E" w14:textId="0FA4DA1D">
            <w:pPr>
              <w:pStyle w:val="TableText"/>
            </w:pPr>
            <w:r>
              <w:rPr>
                <w:rFonts w:hint="cs"/>
                <w:rtl/>
              </w:rPr>
              <w:t>6.</w:t>
            </w:r>
          </w:p>
        </w:tc>
        <w:tc>
          <w:tcPr>
            <w:tcW w:w="7146" w:type="dxa"/>
          </w:tcPr>
          <w:p w:rsidRPr="00DD375D" w:rsidR="009F08DA" w:rsidP="009F08DA" w:rsidRDefault="009F08DA" w14:paraId="4D68DEC8" w14:textId="3B735751">
            <w:pPr>
              <w:pStyle w:val="TableBlock"/>
              <w:rPr>
                <w:rtl/>
              </w:rPr>
            </w:pPr>
            <w:r w:rsidRPr="00DD375D">
              <w:rPr>
                <w:rtl/>
              </w:rPr>
              <w:t xml:space="preserve">תחילתו של חוק זה </w:t>
            </w:r>
            <w:r>
              <w:rPr>
                <w:rFonts w:hint="cs"/>
                <w:rtl/>
              </w:rPr>
              <w:t>60 ימים מיום</w:t>
            </w:r>
            <w:r w:rsidRPr="00DD375D">
              <w:rPr>
                <w:rtl/>
              </w:rPr>
              <w:t xml:space="preserve"> פרסומו</w:t>
            </w:r>
            <w:r w:rsidRPr="00DD375D">
              <w:t>.</w:t>
            </w:r>
          </w:p>
        </w:tc>
      </w:tr>
    </w:tbl>
    <w:p w:rsidR="002D1EE3" w:rsidP="002D1EE3" w:rsidRDefault="002D1EE3" w14:paraId="7F6961CA" w14:textId="77777777">
      <w:pPr>
        <w:pStyle w:val="HeadDivreiHesber"/>
        <w:rPr>
          <w:rtl/>
        </w:rPr>
      </w:pPr>
      <w:r w:rsidRPr="0027450A">
        <w:rPr>
          <w:rFonts w:hint="cs"/>
          <w:rtl/>
        </w:rPr>
        <w:t>דברי הסבר</w:t>
      </w:r>
    </w:p>
    <w:p w:rsidRPr="00DD375D" w:rsidR="00DD375D" w:rsidP="00046431" w:rsidRDefault="00DD375D" w14:paraId="454537B1" w14:textId="55C615AF">
      <w:pPr>
        <w:pStyle w:val="Hesber"/>
      </w:pPr>
      <w:r w:rsidRPr="00DD375D">
        <w:rPr>
          <w:rtl/>
        </w:rPr>
        <w:t xml:space="preserve">מטרת הצעת חוק זו להגן על אזרחים מפני פגיעה כלכלית שעלולה להיגרם מהשתתפות </w:t>
      </w:r>
      <w:r>
        <w:rPr>
          <w:rFonts w:hint="cs"/>
          <w:rtl/>
        </w:rPr>
        <w:t>ב</w:t>
      </w:r>
      <w:r w:rsidRPr="00DD375D">
        <w:rPr>
          <w:rtl/>
        </w:rPr>
        <w:t xml:space="preserve">משחקי הימורים בתכיפות גבוהה או כתוצאה מהתמכרות להימורים. הצעת החוק </w:t>
      </w:r>
      <w:r w:rsidR="003D796B">
        <w:rPr>
          <w:rFonts w:hint="cs"/>
          <w:rtl/>
        </w:rPr>
        <w:t>תאפשר</w:t>
      </w:r>
      <w:r w:rsidRPr="00DD375D" w:rsidR="003D796B">
        <w:rPr>
          <w:rtl/>
        </w:rPr>
        <w:t xml:space="preserve"> </w:t>
      </w:r>
      <w:r w:rsidRPr="00DD375D">
        <w:rPr>
          <w:rtl/>
        </w:rPr>
        <w:t>לאזרחים אשר בוחרים להמר</w:t>
      </w:r>
      <w:r w:rsidR="005F799C">
        <w:rPr>
          <w:rFonts w:hint="cs"/>
          <w:rtl/>
        </w:rPr>
        <w:t>,</w:t>
      </w:r>
      <w:r w:rsidR="005F799C">
        <w:rPr>
          <w:rtl/>
        </w:rPr>
        <w:t xml:space="preserve"> לקבל החלטות מודעות</w:t>
      </w:r>
      <w:r w:rsidRPr="00DD375D">
        <w:rPr>
          <w:rtl/>
        </w:rPr>
        <w:t xml:space="preserve"> בעת השתתפות במשחק הימורים, וזאת על ידי מתן מידע המבהיר להם את הסיכון הקיים בעת השתתפות במשחקי הימורים לצד סיכויי הזכייה. </w:t>
      </w:r>
    </w:p>
    <w:p w:rsidRPr="00DD375D" w:rsidR="00DD375D" w:rsidP="00046431" w:rsidRDefault="00DD375D" w14:paraId="0B766DA7" w14:textId="086FD9E0">
      <w:pPr>
        <w:pStyle w:val="Hesber"/>
        <w:rPr>
          <w:rtl/>
        </w:rPr>
      </w:pPr>
      <w:r w:rsidRPr="00DD375D">
        <w:rPr>
          <w:rtl/>
        </w:rPr>
        <w:t>כיום בישראל פועלים גופים שונים אשר רשאים לערוך הימורים, וזאת באישור שר האוצר או באמצעות המועצה להסדר הימורים בספורט.</w:t>
      </w:r>
    </w:p>
    <w:p w:rsidR="00C90B14" w:rsidP="00FA5C39" w:rsidRDefault="00DD375D" w14:paraId="28C7AE28" w14:textId="5699A75E">
      <w:pPr>
        <w:pStyle w:val="Hesber"/>
        <w:rPr>
          <w:rtl/>
        </w:rPr>
      </w:pPr>
      <w:r w:rsidRPr="00DD375D">
        <w:rPr>
          <w:rtl/>
        </w:rPr>
        <w:lastRenderedPageBreak/>
        <w:t>במצב הקיים</w:t>
      </w:r>
      <w:r w:rsidR="005F799C">
        <w:rPr>
          <w:rFonts w:hint="cs"/>
          <w:rtl/>
        </w:rPr>
        <w:t>, אין אזהרה על גבי מוצרי ההימורים המתריעה מפני הסכנות הצפויות למהמרים.</w:t>
      </w:r>
      <w:r w:rsidRPr="00DD375D">
        <w:rPr>
          <w:rtl/>
        </w:rPr>
        <w:t xml:space="preserve"> משתתפים במשחקי הימורים לעיתים מפסידים סכומי כסף גדולים שהיו מיועדים לפרנסתם ולצ</w:t>
      </w:r>
      <w:r w:rsidR="00BE3842">
        <w:rPr>
          <w:rFonts w:hint="cs"/>
          <w:rtl/>
        </w:rPr>
        <w:t>ו</w:t>
      </w:r>
      <w:r w:rsidRPr="00DD375D">
        <w:rPr>
          <w:rtl/>
        </w:rPr>
        <w:t>רכי בני משפחתם. בנוסף, לעיתים רבות המשתתפים במשחקי הימורים הינם ממעמד סוציו</w:t>
      </w:r>
      <w:r w:rsidR="00413185">
        <w:rPr>
          <w:rFonts w:hint="cs"/>
          <w:rtl/>
        </w:rPr>
        <w:t>-</w:t>
      </w:r>
      <w:r w:rsidRPr="00DD375D">
        <w:rPr>
          <w:rtl/>
        </w:rPr>
        <w:t xml:space="preserve">אקונומי נמוך מלכתחילה, אשר מהמרים בתקווה להשגת פתרון מהיר של בעיות כלכליות או כתחליף לעבודה. </w:t>
      </w:r>
    </w:p>
    <w:p w:rsidRPr="00DD375D" w:rsidR="00DD375D" w:rsidP="00FA5C39" w:rsidRDefault="00DD375D" w14:paraId="595945CE" w14:textId="72D874D7">
      <w:pPr>
        <w:pStyle w:val="Hesber"/>
        <w:rPr>
          <w:rtl/>
        </w:rPr>
      </w:pPr>
      <w:r w:rsidRPr="00DD375D">
        <w:rPr>
          <w:rtl/>
        </w:rPr>
        <w:t>הפגיעה הכלכלית במהמרים ממעמד סוציו</w:t>
      </w:r>
      <w:r w:rsidR="00413185">
        <w:rPr>
          <w:rFonts w:hint="cs"/>
          <w:rtl/>
        </w:rPr>
        <w:t>-</w:t>
      </w:r>
      <w:r w:rsidRPr="00DD375D">
        <w:rPr>
          <w:rtl/>
        </w:rPr>
        <w:t>אקונומי נמוך ובבני משפחתם הופכת לפגיעה קשה וחמורה יותר, בשל מצבם הכלכלי בטרם ביצוע ההימורים. לעיתים משתתפים במשחקי הימורים מפתחים התמכרות להימורים, באופן שפוגע במהמרים ובסביבתם הקרובה. התמכרות להימורים נחשבת להתמכרות סמויה ללא סממנים פיזיים גלויים, אך בעלת השלכות שליליות קשות על המהמר, משפחתו ועל הקהילה</w:t>
      </w:r>
      <w:r w:rsidR="00C90B14">
        <w:rPr>
          <w:rFonts w:hint="cs"/>
          <w:rtl/>
        </w:rPr>
        <w:t xml:space="preserve"> הסובבת אותו</w:t>
      </w:r>
      <w:r w:rsidRPr="00DD375D">
        <w:rPr>
          <w:rtl/>
        </w:rPr>
        <w:t xml:space="preserve">. התמכרות </w:t>
      </w:r>
      <w:r w:rsidR="00FA5C39">
        <w:rPr>
          <w:rFonts w:hint="cs"/>
          <w:rtl/>
        </w:rPr>
        <w:t>להימורים</w:t>
      </w:r>
      <w:r w:rsidRPr="00DD375D">
        <w:rPr>
          <w:rtl/>
        </w:rPr>
        <w:t xml:space="preserve"> נחשבת </w:t>
      </w:r>
      <w:r w:rsidR="00C90B14">
        <w:rPr>
          <w:rFonts w:hint="cs"/>
          <w:rtl/>
        </w:rPr>
        <w:t>כ</w:t>
      </w:r>
      <w:r w:rsidRPr="00DD375D">
        <w:rPr>
          <w:rtl/>
        </w:rPr>
        <w:t>התמכרות חמורה</w:t>
      </w:r>
      <w:r w:rsidR="00C90B14">
        <w:rPr>
          <w:rFonts w:hint="cs"/>
          <w:rtl/>
        </w:rPr>
        <w:t>,</w:t>
      </w:r>
      <w:r w:rsidRPr="00DD375D">
        <w:rPr>
          <w:rtl/>
        </w:rPr>
        <w:t xml:space="preserve"> במיוחד מבחינת הנזקים הפוטנציאליים שעלולים להיגרם למהמר וכן מבחינת סיכויי הגמילה מהתמכרות זו.</w:t>
      </w:r>
    </w:p>
    <w:p w:rsidR="00413185" w:rsidP="009F08DA" w:rsidRDefault="00DD375D" w14:paraId="57343426" w14:textId="56C7A4CB">
      <w:pPr>
        <w:pStyle w:val="Hesber"/>
        <w:rPr>
          <w:rtl/>
        </w:rPr>
      </w:pPr>
      <w:r w:rsidRPr="00DD375D">
        <w:rPr>
          <w:rtl/>
        </w:rPr>
        <w:t>הצעת החוק מבקשת להגביר את המודעות של אזרחים המבקשים להשתתף בפעילות הימורים לסכנות הקיימות בפעילות זו, ולאפשר להם לקבל החלטה מודעת בטרם נטילת הסיכונים. במצב זה לא נפגעת חירות האזרחים להשתתף במשחק הימורים, ועם זאת ניתנת להם היכולת לבצע החלטה רציונאלית ומאוזנת השוקלת את הסיכונים לצד הסיכויים.</w:t>
      </w:r>
      <w:r w:rsidR="00BE3842">
        <w:rPr>
          <w:rFonts w:hint="cs"/>
          <w:rtl/>
        </w:rPr>
        <w:t xml:space="preserve"> </w:t>
      </w:r>
      <w:r w:rsidR="00413185">
        <w:rPr>
          <w:rFonts w:hint="cs"/>
          <w:rtl/>
        </w:rPr>
        <w:t xml:space="preserve">זאת </w:t>
      </w:r>
      <w:r w:rsidRPr="00DD375D">
        <w:rPr>
          <w:rtl/>
        </w:rPr>
        <w:t xml:space="preserve">באמצעות חיוב </w:t>
      </w:r>
      <w:r w:rsidR="00413185">
        <w:rPr>
          <w:rFonts w:hint="cs"/>
          <w:rtl/>
        </w:rPr>
        <w:t xml:space="preserve">המשווקים </w:t>
      </w:r>
      <w:r w:rsidR="005F799C">
        <w:rPr>
          <w:rFonts w:hint="cs"/>
          <w:rtl/>
        </w:rPr>
        <w:t>מוצרי</w:t>
      </w:r>
      <w:r w:rsidRPr="00DD375D">
        <w:rPr>
          <w:rtl/>
        </w:rPr>
        <w:t xml:space="preserve"> הימורים </w:t>
      </w:r>
      <w:r w:rsidR="009F08DA">
        <w:rPr>
          <w:rFonts w:hint="cs"/>
          <w:rtl/>
        </w:rPr>
        <w:t xml:space="preserve"> לפרסם </w:t>
      </w:r>
      <w:r w:rsidRPr="00DD375D">
        <w:rPr>
          <w:rtl/>
        </w:rPr>
        <w:t>אזהרה המתייחסת לסיכונים, בדומה לאזהרות הקיימ</w:t>
      </w:r>
      <w:r w:rsidR="00BE3842">
        <w:rPr>
          <w:rFonts w:hint="cs"/>
          <w:rtl/>
        </w:rPr>
        <w:t>ו</w:t>
      </w:r>
      <w:bookmarkStart w:name="_GoBack" w:id="6"/>
      <w:bookmarkEnd w:id="6"/>
      <w:r w:rsidRPr="00DD375D">
        <w:rPr>
          <w:rtl/>
        </w:rPr>
        <w:t xml:space="preserve">ת </w:t>
      </w:r>
      <w:r w:rsidR="00413185">
        <w:rPr>
          <w:rFonts w:hint="cs"/>
          <w:rtl/>
        </w:rPr>
        <w:t>כ</w:t>
      </w:r>
      <w:r w:rsidRPr="00DD375D">
        <w:rPr>
          <w:rtl/>
        </w:rPr>
        <w:t xml:space="preserve">יום על </w:t>
      </w:r>
      <w:r w:rsidR="00413185">
        <w:rPr>
          <w:rFonts w:hint="cs"/>
          <w:rtl/>
        </w:rPr>
        <w:t>חפיסות</w:t>
      </w:r>
      <w:r w:rsidRPr="00DD375D">
        <w:rPr>
          <w:rtl/>
        </w:rPr>
        <w:t xml:space="preserve"> סיגריות. </w:t>
      </w:r>
    </w:p>
    <w:p w:rsidR="00E13C27" w:rsidP="00046431" w:rsidRDefault="00DD375D" w14:paraId="7F6961CB" w14:textId="6FA3CB69">
      <w:pPr>
        <w:pStyle w:val="Hesber"/>
        <w:rPr>
          <w:rtl/>
        </w:rPr>
      </w:pPr>
      <w:r w:rsidRPr="00DD375D">
        <w:rPr>
          <w:rtl/>
        </w:rPr>
        <w:t>מטרת האזהרה היא לוודא שהמהמר מודע לסיכונים שהוא נוטל על עצמו בעת ביצוע פעילות הימורים. על מנת לוודא כי החוק ייאכף</w:t>
      </w:r>
      <w:r w:rsidR="005F799C">
        <w:rPr>
          <w:rFonts w:hint="cs"/>
          <w:rtl/>
        </w:rPr>
        <w:t>,</w:t>
      </w:r>
      <w:r w:rsidRPr="00DD375D">
        <w:rPr>
          <w:rtl/>
        </w:rPr>
        <w:t xml:space="preserve"> מוצע להטיל קנסות על מפרי החוק, וכן להטיל איסור על מכירת </w:t>
      </w:r>
      <w:r w:rsidR="00413185">
        <w:rPr>
          <w:rFonts w:hint="cs"/>
          <w:rtl/>
        </w:rPr>
        <w:t>מוצרי</w:t>
      </w:r>
      <w:r w:rsidRPr="00DD375D" w:rsidR="00413185">
        <w:rPr>
          <w:rtl/>
        </w:rPr>
        <w:t xml:space="preserve"> </w:t>
      </w:r>
      <w:r w:rsidRPr="00DD375D">
        <w:rPr>
          <w:rtl/>
        </w:rPr>
        <w:t>הימורים במקרה של גופים המבצעים הפרות חוזרות.</w:t>
      </w:r>
    </w:p>
    <w:p w:rsidR="009B4C3B" w:rsidP="00046431" w:rsidRDefault="009B4C3B" w14:paraId="602C0E86" w14:textId="560D583A">
      <w:pPr>
        <w:pStyle w:val="Hesber"/>
        <w:rPr>
          <w:rtl/>
        </w:rPr>
      </w:pPr>
    </w:p>
    <w:p w:rsidR="009B4C3B" w:rsidP="00046431" w:rsidRDefault="009B4C3B" w14:paraId="1F3F2F7C" w14:textId="77777777">
      <w:pPr>
        <w:pStyle w:val="Hesber"/>
        <w:rPr>
          <w:rtl/>
        </w:rPr>
      </w:pPr>
    </w:p>
    <w:p w:rsidR="009B4C3B" w:rsidP="00046431" w:rsidRDefault="009B4C3B" w14:paraId="6129ECDC" w14:textId="77777777">
      <w:pPr>
        <w:pStyle w:val="Hesber"/>
        <w:rPr>
          <w:rtl/>
        </w:rPr>
      </w:pPr>
    </w:p>
    <w:p w:rsidR="009B4C3B" w:rsidP="009B4C3B" w:rsidRDefault="009B4C3B" w14:paraId="41E3E00C" w14:textId="77777777">
      <w:pPr>
        <w:pStyle w:val="Hesber"/>
        <w:rPr>
          <w:rtl/>
        </w:rPr>
      </w:pPr>
      <w:r>
        <w:rPr>
          <w:rtl/>
        </w:rPr>
        <w:t>---------------------------------</w:t>
      </w:r>
    </w:p>
    <w:p w:rsidR="009B4C3B" w:rsidP="009B4C3B" w:rsidRDefault="009B4C3B" w14:paraId="5E16F63D" w14:textId="77777777">
      <w:pPr>
        <w:pStyle w:val="Hesber"/>
        <w:rPr>
          <w:rtl/>
        </w:rPr>
      </w:pPr>
      <w:r>
        <w:rPr>
          <w:rtl/>
        </w:rPr>
        <w:t>הוגשה ליו"ר הכנסת והסגנים</w:t>
      </w:r>
    </w:p>
    <w:p w:rsidR="009B4C3B" w:rsidP="009B4C3B" w:rsidRDefault="009B4C3B" w14:paraId="31F15FBF" w14:textId="77777777">
      <w:pPr>
        <w:pStyle w:val="Hesber"/>
        <w:rPr>
          <w:rtl/>
        </w:rPr>
      </w:pPr>
      <w:r>
        <w:rPr>
          <w:rtl/>
        </w:rPr>
        <w:t>והונחה על שולחן הכנסת ביום</w:t>
      </w:r>
    </w:p>
    <w:p w:rsidR="009B4C3B" w:rsidP="009B4C3B" w:rsidRDefault="009B4C3B" w14:paraId="60767030" w14:textId="13F2F735">
      <w:pPr>
        <w:pStyle w:val="Hesber"/>
        <w:rPr>
          <w:rtl/>
        </w:rPr>
      </w:pPr>
      <w:r>
        <w:rPr>
          <w:rtl/>
        </w:rPr>
        <w:t>י"ב בכסלו התשע"ז - 12.12.16</w:t>
      </w:r>
    </w:p>
    <w:sectPr w:rsidR="009B4C3B" w:rsidSect="001207F8">
      <w:footerReference w:type="even" r:id="rId11"/>
      <w:footerReference w:type="default" r:id="rId12"/>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88A69" w14:textId="77777777" w:rsidR="00A942C1" w:rsidRDefault="00A942C1">
      <w:r>
        <w:separator/>
      </w:r>
    </w:p>
  </w:endnote>
  <w:endnote w:type="continuationSeparator" w:id="0">
    <w:p w14:paraId="318F26FB" w14:textId="77777777" w:rsidR="00A942C1" w:rsidRDefault="00A942C1">
      <w:r>
        <w:continuationSeparator/>
      </w:r>
    </w:p>
  </w:endnote>
  <w:endnote w:type="continuationNotice" w:id="1">
    <w:p w14:paraId="6BE48FD5" w14:textId="77777777" w:rsidR="00A942C1" w:rsidRDefault="00A942C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5" w14:textId="77777777"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end"/>
    </w:r>
  </w:p>
  <w:p w14:paraId="7F6961D6" w14:textId="77777777" w:rsidR="002C3041" w:rsidRDefault="002C304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7" w14:textId="77777777"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separate"/>
    </w:r>
    <w:r w:rsidR="00BE3842">
      <w:rPr>
        <w:rStyle w:val="ab"/>
        <w:noProof/>
        <w:rtl/>
      </w:rPr>
      <w:t>2</w:t>
    </w:r>
    <w:r>
      <w:rPr>
        <w:rStyle w:val="ab"/>
        <w:rtl/>
      </w:rPr>
      <w:fldChar w:fldCharType="end"/>
    </w:r>
  </w:p>
  <w:p w14:paraId="7F6961D8" w14:textId="77777777" w:rsidR="002C3041" w:rsidRDefault="002C304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7B9F2" w14:textId="77777777" w:rsidR="00A942C1" w:rsidRDefault="00A942C1">
      <w:r>
        <w:separator/>
      </w:r>
    </w:p>
  </w:footnote>
  <w:footnote w:type="continuationSeparator" w:id="0">
    <w:p w14:paraId="3DB92342" w14:textId="77777777" w:rsidR="00A942C1" w:rsidRDefault="00A942C1">
      <w:r>
        <w:continuationSeparator/>
      </w:r>
    </w:p>
  </w:footnote>
  <w:footnote w:type="continuationNotice" w:id="1">
    <w:p w14:paraId="16009878" w14:textId="77777777" w:rsidR="00A942C1" w:rsidRDefault="00A942C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6AAD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5CAE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E88A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DA1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4246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F03FA7"/>
    <w:multiLevelType w:val="hybridMultilevel"/>
    <w:tmpl w:val="018CDA62"/>
    <w:lvl w:ilvl="0" w:tplc="3F2E1EB2">
      <w:start w:val="1"/>
      <w:numFmt w:val="decimal"/>
      <w:lvlText w:val="%1."/>
      <w:lvlJc w:val="left"/>
      <w:pPr>
        <w:ind w:left="360" w:hanging="360"/>
      </w:pPr>
      <w:rPr>
        <w:rFonts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751946"/>
    <w:multiLevelType w:val="hybridMultilevel"/>
    <w:tmpl w:val="EAD45264"/>
    <w:lvl w:ilvl="0" w:tplc="655023BA">
      <w:start w:val="1"/>
      <w:numFmt w:val="hebrew1"/>
      <w:lvlText w:val="(%1)"/>
      <w:lvlJc w:val="left"/>
      <w:pPr>
        <w:ind w:left="360" w:hanging="360"/>
      </w:pPr>
      <w:rPr>
        <w:rFonts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5370A65"/>
    <w:multiLevelType w:val="hybridMultilevel"/>
    <w:tmpl w:val="F47262E0"/>
    <w:lvl w:ilvl="0" w:tplc="E9B8C242">
      <w:start w:val="1"/>
      <w:numFmt w:val="hebrew1"/>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1"/>
  </w:num>
  <w:num w:numId="14">
    <w:abstractNumId w:val="16"/>
  </w:num>
  <w:num w:numId="15">
    <w:abstractNumId w:val="10"/>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riginalName" w:val="tmp482240lsCopyOriginal.docx"/>
    <w:docVar w:name="StartMode" w:val="2"/>
  </w:docVars>
  <w:rsids>
    <w:rsidRoot w:val="00DB7060"/>
    <w:rsid w:val="00000A11"/>
    <w:rsid w:val="0000131B"/>
    <w:rsid w:val="00015B27"/>
    <w:rsid w:val="00046431"/>
    <w:rsid w:val="00063A3E"/>
    <w:rsid w:val="00072CAC"/>
    <w:rsid w:val="0007681A"/>
    <w:rsid w:val="000A542E"/>
    <w:rsid w:val="000C05D1"/>
    <w:rsid w:val="00102B6B"/>
    <w:rsid w:val="001052D4"/>
    <w:rsid w:val="0010644B"/>
    <w:rsid w:val="001207F8"/>
    <w:rsid w:val="00121924"/>
    <w:rsid w:val="001279A8"/>
    <w:rsid w:val="0014195F"/>
    <w:rsid w:val="00152609"/>
    <w:rsid w:val="00153E1B"/>
    <w:rsid w:val="00171A51"/>
    <w:rsid w:val="001A0623"/>
    <w:rsid w:val="001C23B0"/>
    <w:rsid w:val="001D7AAF"/>
    <w:rsid w:val="00203A7F"/>
    <w:rsid w:val="00203EC7"/>
    <w:rsid w:val="0021633A"/>
    <w:rsid w:val="002200A1"/>
    <w:rsid w:val="002362BF"/>
    <w:rsid w:val="00241B97"/>
    <w:rsid w:val="002425D1"/>
    <w:rsid w:val="00246756"/>
    <w:rsid w:val="00251E58"/>
    <w:rsid w:val="00254605"/>
    <w:rsid w:val="00257A18"/>
    <w:rsid w:val="00266D86"/>
    <w:rsid w:val="002728B4"/>
    <w:rsid w:val="0027600C"/>
    <w:rsid w:val="00292712"/>
    <w:rsid w:val="002A15F1"/>
    <w:rsid w:val="002A487D"/>
    <w:rsid w:val="002C2E29"/>
    <w:rsid w:val="002C3041"/>
    <w:rsid w:val="002D1EE3"/>
    <w:rsid w:val="002F1D80"/>
    <w:rsid w:val="003232A2"/>
    <w:rsid w:val="00325C14"/>
    <w:rsid w:val="0036422C"/>
    <w:rsid w:val="003710F6"/>
    <w:rsid w:val="00374364"/>
    <w:rsid w:val="00386E88"/>
    <w:rsid w:val="00396585"/>
    <w:rsid w:val="003D6E38"/>
    <w:rsid w:val="003D74A0"/>
    <w:rsid w:val="003D796B"/>
    <w:rsid w:val="004033D8"/>
    <w:rsid w:val="004073F0"/>
    <w:rsid w:val="00412A7D"/>
    <w:rsid w:val="00413185"/>
    <w:rsid w:val="00416B4D"/>
    <w:rsid w:val="00417CFC"/>
    <w:rsid w:val="004A06DC"/>
    <w:rsid w:val="004B24ED"/>
    <w:rsid w:val="004B6625"/>
    <w:rsid w:val="004D2D82"/>
    <w:rsid w:val="004D3876"/>
    <w:rsid w:val="004E4552"/>
    <w:rsid w:val="004E6CDF"/>
    <w:rsid w:val="00512514"/>
    <w:rsid w:val="00530325"/>
    <w:rsid w:val="00553C9D"/>
    <w:rsid w:val="00562A66"/>
    <w:rsid w:val="005B064E"/>
    <w:rsid w:val="005B2E05"/>
    <w:rsid w:val="005D51AE"/>
    <w:rsid w:val="005F799C"/>
    <w:rsid w:val="00601DEA"/>
    <w:rsid w:val="00625384"/>
    <w:rsid w:val="0062674B"/>
    <w:rsid w:val="006363B2"/>
    <w:rsid w:val="00644940"/>
    <w:rsid w:val="00655D79"/>
    <w:rsid w:val="006818A9"/>
    <w:rsid w:val="006A2D81"/>
    <w:rsid w:val="006C1D0D"/>
    <w:rsid w:val="0070601E"/>
    <w:rsid w:val="00712C72"/>
    <w:rsid w:val="00735FE9"/>
    <w:rsid w:val="00754E54"/>
    <w:rsid w:val="00763CAA"/>
    <w:rsid w:val="00765F66"/>
    <w:rsid w:val="00777B55"/>
    <w:rsid w:val="0078664F"/>
    <w:rsid w:val="007C3FA6"/>
    <w:rsid w:val="007D585A"/>
    <w:rsid w:val="007D5A12"/>
    <w:rsid w:val="007E59F9"/>
    <w:rsid w:val="00810BCD"/>
    <w:rsid w:val="00812C98"/>
    <w:rsid w:val="00814D92"/>
    <w:rsid w:val="0083181D"/>
    <w:rsid w:val="00843EB2"/>
    <w:rsid w:val="00865572"/>
    <w:rsid w:val="008737AF"/>
    <w:rsid w:val="00874BBC"/>
    <w:rsid w:val="00892135"/>
    <w:rsid w:val="00895449"/>
    <w:rsid w:val="00897879"/>
    <w:rsid w:val="008A6870"/>
    <w:rsid w:val="008C2DDC"/>
    <w:rsid w:val="008C7516"/>
    <w:rsid w:val="008E6EC7"/>
    <w:rsid w:val="008F0D63"/>
    <w:rsid w:val="008F1308"/>
    <w:rsid w:val="008F2C35"/>
    <w:rsid w:val="008F6665"/>
    <w:rsid w:val="00904591"/>
    <w:rsid w:val="00905E5F"/>
    <w:rsid w:val="0091204F"/>
    <w:rsid w:val="009203DB"/>
    <w:rsid w:val="00923CD4"/>
    <w:rsid w:val="00930EFE"/>
    <w:rsid w:val="00943386"/>
    <w:rsid w:val="009456B6"/>
    <w:rsid w:val="00957589"/>
    <w:rsid w:val="009630A6"/>
    <w:rsid w:val="00966D06"/>
    <w:rsid w:val="00982412"/>
    <w:rsid w:val="00983A8D"/>
    <w:rsid w:val="009A0DB8"/>
    <w:rsid w:val="009A1E16"/>
    <w:rsid w:val="009A7257"/>
    <w:rsid w:val="009B4C3B"/>
    <w:rsid w:val="009D6E0A"/>
    <w:rsid w:val="009E1E33"/>
    <w:rsid w:val="009F08DA"/>
    <w:rsid w:val="00A14672"/>
    <w:rsid w:val="00A26BD6"/>
    <w:rsid w:val="00A443CF"/>
    <w:rsid w:val="00A62D3F"/>
    <w:rsid w:val="00A6611D"/>
    <w:rsid w:val="00A82CB7"/>
    <w:rsid w:val="00A942C1"/>
    <w:rsid w:val="00AA2F03"/>
    <w:rsid w:val="00AC36F7"/>
    <w:rsid w:val="00AC63A4"/>
    <w:rsid w:val="00AD239E"/>
    <w:rsid w:val="00B10265"/>
    <w:rsid w:val="00B16A99"/>
    <w:rsid w:val="00B21211"/>
    <w:rsid w:val="00B35784"/>
    <w:rsid w:val="00B733A7"/>
    <w:rsid w:val="00B75C91"/>
    <w:rsid w:val="00B96B74"/>
    <w:rsid w:val="00B975AD"/>
    <w:rsid w:val="00BC45FB"/>
    <w:rsid w:val="00BE3842"/>
    <w:rsid w:val="00BF148D"/>
    <w:rsid w:val="00C23B1A"/>
    <w:rsid w:val="00C310EB"/>
    <w:rsid w:val="00C73855"/>
    <w:rsid w:val="00C90B14"/>
    <w:rsid w:val="00C9176A"/>
    <w:rsid w:val="00CF1AA2"/>
    <w:rsid w:val="00D17774"/>
    <w:rsid w:val="00D42DBF"/>
    <w:rsid w:val="00D63620"/>
    <w:rsid w:val="00D8410D"/>
    <w:rsid w:val="00D867D7"/>
    <w:rsid w:val="00DB7060"/>
    <w:rsid w:val="00DD375D"/>
    <w:rsid w:val="00DE3153"/>
    <w:rsid w:val="00E06736"/>
    <w:rsid w:val="00E13C27"/>
    <w:rsid w:val="00E33BBD"/>
    <w:rsid w:val="00E374F2"/>
    <w:rsid w:val="00E45103"/>
    <w:rsid w:val="00E47942"/>
    <w:rsid w:val="00E52479"/>
    <w:rsid w:val="00E55A60"/>
    <w:rsid w:val="00E62778"/>
    <w:rsid w:val="00E63D38"/>
    <w:rsid w:val="00E665B9"/>
    <w:rsid w:val="00EA01E6"/>
    <w:rsid w:val="00EA3DE8"/>
    <w:rsid w:val="00EA758F"/>
    <w:rsid w:val="00ED4A6F"/>
    <w:rsid w:val="00EF3A3A"/>
    <w:rsid w:val="00F628D6"/>
    <w:rsid w:val="00F67051"/>
    <w:rsid w:val="00F86A1E"/>
    <w:rsid w:val="00FA5C39"/>
    <w:rsid w:val="00FA5E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15:docId w15:val="{E7CC2A52-7C30-40EF-A06A-B08F5CE6E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5AD"/>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B975AD"/>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B975AD"/>
    <w:rPr>
      <w:sz w:val="36"/>
      <w:szCs w:val="52"/>
    </w:rPr>
  </w:style>
  <w:style w:type="paragraph" w:customStyle="1" w:styleId="Cover3-Haknesset">
    <w:name w:val="Cover 3-Haknesset"/>
    <w:basedOn w:val="Cover1-Reshumot"/>
    <w:rsid w:val="00B975AD"/>
    <w:rPr>
      <w:b/>
      <w:bCs/>
      <w:spacing w:val="60"/>
    </w:rPr>
  </w:style>
  <w:style w:type="paragraph" w:customStyle="1" w:styleId="Cover4-Date">
    <w:name w:val="Cover 4-Date"/>
    <w:basedOn w:val="a"/>
    <w:rsid w:val="00B975AD"/>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B975AD"/>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B975AD"/>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B975AD"/>
    <w:pPr>
      <w:spacing w:before="120" w:after="120"/>
    </w:pPr>
    <w:rPr>
      <w:color w:val="FF0000"/>
      <w:w w:val="80"/>
    </w:rPr>
  </w:style>
  <w:style w:type="paragraph" w:styleId="a3">
    <w:name w:val="endnote text"/>
    <w:basedOn w:val="a"/>
    <w:semiHidden/>
    <w:rsid w:val="00B975AD"/>
    <w:pPr>
      <w:ind w:left="227" w:hanging="227"/>
    </w:pPr>
    <w:rPr>
      <w:sz w:val="14"/>
      <w:szCs w:val="22"/>
    </w:rPr>
  </w:style>
  <w:style w:type="paragraph" w:customStyle="1" w:styleId="TableText">
    <w:name w:val="Table Text"/>
    <w:basedOn w:val="a"/>
    <w:rsid w:val="00B975AD"/>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B975AD"/>
  </w:style>
  <w:style w:type="paragraph" w:customStyle="1" w:styleId="TableBlock">
    <w:name w:val="Table Block"/>
    <w:basedOn w:val="TableText"/>
    <w:rsid w:val="00B975AD"/>
    <w:pPr>
      <w:ind w:right="0"/>
      <w:jc w:val="both"/>
    </w:pPr>
  </w:style>
  <w:style w:type="paragraph" w:customStyle="1" w:styleId="TableHead">
    <w:name w:val="Table Head"/>
    <w:basedOn w:val="TableText"/>
    <w:rsid w:val="00B975AD"/>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B975AD"/>
  </w:style>
  <w:style w:type="paragraph" w:customStyle="1" w:styleId="Hesber">
    <w:name w:val="Hesber"/>
    <w:basedOn w:val="a"/>
    <w:rsid w:val="00B975AD"/>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link w:val="a5"/>
    <w:autoRedefine/>
    <w:uiPriority w:val="99"/>
    <w:semiHidden/>
    <w:rsid w:val="00B975AD"/>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6">
    <w:name w:val="footnote reference"/>
    <w:basedOn w:val="a0"/>
    <w:uiPriority w:val="99"/>
    <w:semiHidden/>
    <w:rsid w:val="00B975AD"/>
    <w:rPr>
      <w:vertAlign w:val="superscript"/>
    </w:rPr>
  </w:style>
  <w:style w:type="paragraph" w:customStyle="1" w:styleId="HesberHeading">
    <w:name w:val="Hesber Heading"/>
    <w:basedOn w:val="Hesber"/>
    <w:rsid w:val="00B975AD"/>
    <w:pPr>
      <w:tabs>
        <w:tab w:val="left" w:pos="624"/>
        <w:tab w:val="left" w:pos="1247"/>
      </w:tabs>
      <w:ind w:firstLine="0"/>
    </w:pPr>
    <w:rPr>
      <w:b/>
      <w:bCs/>
    </w:rPr>
  </w:style>
  <w:style w:type="paragraph" w:customStyle="1" w:styleId="HesberWriters">
    <w:name w:val="Hesber Writers"/>
    <w:basedOn w:val="Hesber"/>
    <w:rsid w:val="00B975AD"/>
    <w:pPr>
      <w:spacing w:before="120" w:after="6000"/>
      <w:ind w:left="1418" w:firstLine="0"/>
      <w:jc w:val="right"/>
    </w:pPr>
    <w:rPr>
      <w:b/>
      <w:bCs/>
    </w:rPr>
  </w:style>
  <w:style w:type="paragraph" w:customStyle="1" w:styleId="Hesber1st">
    <w:name w:val="Hesber 1st"/>
    <w:basedOn w:val="Hesber"/>
    <w:rsid w:val="00B975AD"/>
    <w:pPr>
      <w:tabs>
        <w:tab w:val="left" w:pos="680"/>
        <w:tab w:val="left" w:pos="1020"/>
      </w:tabs>
      <w:ind w:firstLine="0"/>
    </w:pPr>
  </w:style>
  <w:style w:type="character" w:styleId="a7">
    <w:name w:val="endnote reference"/>
    <w:basedOn w:val="a0"/>
    <w:semiHidden/>
    <w:rsid w:val="00B975AD"/>
    <w:rPr>
      <w:vertAlign w:val="superscript"/>
    </w:rPr>
  </w:style>
  <w:style w:type="paragraph" w:customStyle="1" w:styleId="TableBlockOutdent">
    <w:name w:val="Table BlockOutdent"/>
    <w:basedOn w:val="TableBlock"/>
    <w:rsid w:val="00B975AD"/>
    <w:pPr>
      <w:ind w:left="624" w:hanging="624"/>
    </w:pPr>
  </w:style>
  <w:style w:type="paragraph" w:styleId="a8">
    <w:name w:val="header"/>
    <w:basedOn w:val="a"/>
    <w:rsid w:val="00B975AD"/>
    <w:pPr>
      <w:tabs>
        <w:tab w:val="center" w:pos="4153"/>
        <w:tab w:val="right" w:pos="8306"/>
      </w:tabs>
    </w:pPr>
  </w:style>
  <w:style w:type="paragraph" w:styleId="a9">
    <w:name w:val="footer"/>
    <w:basedOn w:val="a"/>
    <w:rsid w:val="00B975AD"/>
    <w:pPr>
      <w:tabs>
        <w:tab w:val="center" w:pos="4153"/>
        <w:tab w:val="right" w:pos="8306"/>
      </w:tabs>
    </w:pPr>
  </w:style>
  <w:style w:type="paragraph" w:customStyle="1" w:styleId="HeadDivreiHesber">
    <w:name w:val="Head DivreiHesber"/>
    <w:basedOn w:val="a"/>
    <w:rsid w:val="00B975AD"/>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B975AD"/>
    <w:pPr>
      <w:snapToGrid w:val="0"/>
      <w:spacing w:before="0" w:line="360" w:lineRule="auto"/>
      <w:jc w:val="left"/>
    </w:pPr>
    <w:rPr>
      <w:rFonts w:ascii="Arial" w:eastAsia="Arial Unicode MS" w:hAnsi="Arial" w:cs="David"/>
      <w:snapToGrid w:val="0"/>
      <w:spacing w:val="0"/>
      <w:sz w:val="20"/>
      <w:szCs w:val="26"/>
    </w:rPr>
  </w:style>
  <w:style w:type="paragraph" w:styleId="aa">
    <w:name w:val="Title"/>
    <w:basedOn w:val="a"/>
    <w:qFormat/>
    <w:rsid w:val="00943386"/>
    <w:pPr>
      <w:jc w:val="center"/>
    </w:pPr>
    <w:rPr>
      <w:rFonts w:cs="David"/>
      <w:b/>
      <w:bCs/>
      <w:sz w:val="28"/>
      <w:szCs w:val="28"/>
      <w:u w:val="single"/>
    </w:rPr>
  </w:style>
  <w:style w:type="character" w:styleId="ab">
    <w:name w:val="page number"/>
    <w:basedOn w:val="a0"/>
    <w:rsid w:val="00B975AD"/>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c">
    <w:name w:val="Balloon Text"/>
    <w:basedOn w:val="a"/>
    <w:link w:val="ad"/>
    <w:semiHidden/>
    <w:unhideWhenUsed/>
    <w:rsid w:val="00325C14"/>
    <w:pPr>
      <w:spacing w:before="0" w:line="240" w:lineRule="auto"/>
    </w:pPr>
    <w:rPr>
      <w:rFonts w:ascii="Tahoma" w:hAnsi="Tahoma" w:cs="Tahoma"/>
      <w:sz w:val="16"/>
      <w:szCs w:val="16"/>
    </w:rPr>
  </w:style>
  <w:style w:type="character" w:customStyle="1" w:styleId="ad">
    <w:name w:val="טקסט בלונים תו"/>
    <w:basedOn w:val="a0"/>
    <w:link w:val="ac"/>
    <w:semiHidden/>
    <w:rsid w:val="00325C14"/>
    <w:rPr>
      <w:rFonts w:ascii="Tahoma" w:hAnsi="Tahoma" w:cs="Tahoma"/>
      <w:color w:val="000000"/>
      <w:spacing w:val="1"/>
      <w:sz w:val="16"/>
      <w:szCs w:val="16"/>
      <w:lang w:eastAsia="ja-JP"/>
    </w:rPr>
  </w:style>
  <w:style w:type="paragraph" w:styleId="NormalWeb">
    <w:name w:val="Normal (Web)"/>
    <w:basedOn w:val="a"/>
    <w:semiHidden/>
    <w:unhideWhenUsed/>
    <w:rsid w:val="00DD375D"/>
    <w:rPr>
      <w:rFonts w:ascii="Times New Roman" w:hAnsi="Times New Roman" w:cs="Times New Roman"/>
      <w:sz w:val="24"/>
      <w:szCs w:val="24"/>
    </w:rPr>
  </w:style>
  <w:style w:type="character" w:customStyle="1" w:styleId="a5">
    <w:name w:val="טקסט הערת שוליים תו"/>
    <w:basedOn w:val="a0"/>
    <w:link w:val="a4"/>
    <w:uiPriority w:val="99"/>
    <w:semiHidden/>
    <w:rsid w:val="00A62D3F"/>
    <w:rPr>
      <w:rFonts w:ascii="Arial" w:eastAsia="Arial Unicode MS" w:hAnsi="Arial" w:cs="David"/>
      <w:snapToGrid w:val="0"/>
      <w:color w:val="000000"/>
      <w:sz w:val="1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544885">
      <w:bodyDiv w:val="1"/>
      <w:marLeft w:val="0"/>
      <w:marRight w:val="0"/>
      <w:marTop w:val="0"/>
      <w:marBottom w:val="0"/>
      <w:divBdr>
        <w:top w:val="none" w:sz="0" w:space="0" w:color="auto"/>
        <w:left w:val="none" w:sz="0" w:space="0" w:color="auto"/>
        <w:bottom w:val="none" w:sz="0" w:space="0" w:color="auto"/>
        <w:right w:val="none" w:sz="0" w:space="0" w:color="auto"/>
      </w:divBdr>
    </w:div>
    <w:div w:id="997001338">
      <w:bodyDiv w:val="1"/>
      <w:marLeft w:val="0"/>
      <w:marRight w:val="0"/>
      <w:marTop w:val="0"/>
      <w:marBottom w:val="0"/>
      <w:divBdr>
        <w:top w:val="none" w:sz="0" w:space="0" w:color="auto"/>
        <w:left w:val="none" w:sz="0" w:space="0" w:color="auto"/>
        <w:bottom w:val="none" w:sz="0" w:space="0" w:color="auto"/>
        <w:right w:val="none" w:sz="0" w:space="0" w:color="auto"/>
      </w:divBdr>
    </w:div>
    <w:div w:id="1324361109">
      <w:bodyDiv w:val="1"/>
      <w:marLeft w:val="0"/>
      <w:marRight w:val="0"/>
      <w:marTop w:val="0"/>
      <w:marBottom w:val="0"/>
      <w:divBdr>
        <w:top w:val="none" w:sz="0" w:space="0" w:color="auto"/>
        <w:left w:val="none" w:sz="0" w:space="0" w:color="auto"/>
        <w:bottom w:val="none" w:sz="0" w:space="0" w:color="auto"/>
        <w:right w:val="none" w:sz="0" w:space="0" w:color="auto"/>
      </w:divBdr>
    </w:div>
    <w:div w:id="1799453884">
      <w:bodyDiv w:val="1"/>
      <w:marLeft w:val="0"/>
      <w:marRight w:val="0"/>
      <w:marTop w:val="0"/>
      <w:marBottom w:val="0"/>
      <w:divBdr>
        <w:top w:val="none" w:sz="0" w:space="0" w:color="auto"/>
        <w:left w:val="none" w:sz="0" w:space="0" w:color="auto"/>
        <w:bottom w:val="none" w:sz="0" w:space="0" w:color="auto"/>
        <w:right w:val="none" w:sz="0" w:space="0" w:color="auto"/>
      </w:divBdr>
    </w:div>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86EB84DF20CE4D8D9D1A5C7A92FD24" ma:contentTypeVersion="0" ma:contentTypeDescription="Create a new document." ma:contentTypeScope="" ma:versionID="99fd2faca98684dfaf8c37f6393491f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2.xml><?xml version="1.0" encoding="utf-8"?>
<ds:datastoreItem xmlns:ds="http://schemas.openxmlformats.org/officeDocument/2006/customXml" ds:itemID="{7D53EE89-2CCD-4BB9-AD75-9555E858B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4AFE3-9455-419C-8851-785A55F44517}">
  <ds:schemaRefs>
    <ds:schemaRef ds:uri="http://schemas.microsoft.com/office/2006/documentManagement/types"/>
    <ds:schemaRef ds:uri="http://purl.org/dc/terms/"/>
    <ds:schemaRef ds:uri="http://www.w3.org/XML/1998/namespace"/>
    <ds:schemaRef ds:uri="http://purl.org/dc/dcmitype/"/>
    <ds:schemaRef ds:uri="http://purl.org/dc/elements/1.1/"/>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ED3C9B-8CBB-4F29-A26D-818EFB3F3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3</Pages>
  <Words>696</Words>
  <Characters>3482</Characters>
  <Application>Microsoft Office Word</Application>
  <DocSecurity>0</DocSecurity>
  <Lines>29</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לילך יעיש</cp:lastModifiedBy>
  <cp:revision>17</cp:revision>
  <cp:lastPrinted>2016-12-11T07:39:00Z</cp:lastPrinted>
  <dcterms:created xsi:type="dcterms:W3CDTF">2015-04-20T09:58:00Z</dcterms:created>
  <dcterms:modified xsi:type="dcterms:W3CDTF">2016-12-11T08:15:00Z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0x0101008386EB84DF20CE4D8D9D1A5C7A92FD24</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2007683</vt:r8>
  </property>
</Properties>
</file>