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2065876</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עליזה לביא</w:t>
      </w:r>
      <w:r>
        <w:br/>
      </w:r>
      <w:r>
        <w:rPr>
          <w:rFonts w:hint="cs"/>
          <w:b/>
          <w:bCs/>
          <w:rtl/>
        </w:rPr>
        <w:t xml:space="preserve"> </w:t>
      </w:r>
      <w:r>
        <w:tab/>
      </w:r>
      <w:r>
        <w:tab/>
      </w:r>
      <w:r>
        <w:tab/>
      </w:r>
      <w:r>
        <w:tab/>
      </w:r>
      <w:r>
        <w:rPr>
          <w:rFonts w:hint="cs"/>
          <w:b/>
          <w:bCs/>
          <w:rtl/>
        </w:rPr>
        <w:t>שלי יחימוביץ'</w:t>
      </w:r>
      <w:r>
        <w:br/>
      </w:r>
      <w:r>
        <w:rPr>
          <w:rFonts w:hint="cs"/>
          <w:b/>
          <w:bCs/>
          <w:rtl/>
        </w:rPr>
        <w:t xml:space="preserve"> </w:t>
      </w:r>
      <w:r>
        <w:tab/>
      </w:r>
      <w:r>
        <w:tab/>
      </w:r>
      <w:r>
        <w:tab/>
      </w:r>
      <w:r>
        <w:tab/>
      </w:r>
      <w:r>
        <w:rPr>
          <w:rFonts w:hint="cs"/>
          <w:b/>
          <w:bCs/>
          <w:rtl/>
        </w:rPr>
        <w:t xml:space="preserve">יחיאל </w:t>
      </w:r>
      <w:proofErr w:type="spellStart"/>
      <w:r>
        <w:rPr>
          <w:rFonts w:hint="cs"/>
          <w:b/>
          <w:bCs/>
          <w:rtl/>
        </w:rPr>
        <w:t>חיליק</w:t>
      </w:r>
      <w:proofErr w:type="spellEnd"/>
      <w:r>
        <w:rPr>
          <w:rFonts w:hint="cs"/>
          <w:b/>
          <w:bCs/>
          <w:rtl/>
        </w:rPr>
        <w:t xml:space="preserve"> בר</w:t>
      </w:r>
      <w:r>
        <w:br/>
      </w:r>
      <w:r>
        <w:rPr>
          <w:rFonts w:hint="cs"/>
          <w:b/>
          <w:bCs/>
          <w:rtl/>
        </w:rPr>
        <w:t xml:space="preserve"> </w:t>
      </w:r>
      <w:r>
        <w:tab/>
      </w:r>
      <w:r>
        <w:tab/>
      </w:r>
      <w:r>
        <w:tab/>
      </w:r>
      <w:r>
        <w:tab/>
      </w:r>
      <w:r>
        <w:rPr>
          <w:rFonts w:hint="cs"/>
          <w:b/>
          <w:bCs/>
          <w:rtl/>
        </w:rPr>
        <w:t>קארין אלהרר</w:t>
      </w:r>
      <w:r>
        <w:br/>
      </w:r>
      <w:r>
        <w:rPr>
          <w:rFonts w:hint="cs"/>
          <w:b/>
          <w:bCs/>
          <w:rtl/>
        </w:rPr>
        <w:t xml:space="preserve"> </w:t>
      </w:r>
      <w:r>
        <w:tab/>
      </w:r>
      <w:r>
        <w:tab/>
      </w:r>
      <w:r>
        <w:tab/>
      </w:r>
      <w:r>
        <w:tab/>
      </w:r>
      <w:r>
        <w:rPr>
          <w:rFonts w:hint="cs"/>
          <w:b/>
          <w:bCs/>
          <w:rtl/>
        </w:rPr>
        <w:t>מירב בן ארי</w:t>
      </w:r>
      <w:r>
        <w:br/>
      </w:r>
      <w:r>
        <w:rPr>
          <w:rFonts w:hint="cs"/>
          <w:b/>
          <w:bCs/>
          <w:rtl/>
        </w:rPr>
        <w:t xml:space="preserve"> </w:t>
      </w:r>
      <w:r>
        <w:tab/>
      </w:r>
      <w:r>
        <w:tab/>
      </w:r>
      <w:r>
        <w:tab/>
      </w:r>
      <w:r>
        <w:tab/>
      </w:r>
      <w:r>
        <w:rPr>
          <w:rFonts w:hint="cs"/>
          <w:b/>
          <w:bCs/>
          <w:rtl/>
        </w:rPr>
        <w:t>יפעת שאשא ביטון</w:t>
      </w:r>
      <w:r>
        <w:br/>
      </w:r>
      <w:r>
        <w:rPr>
          <w:rFonts w:hint="cs"/>
          <w:b/>
          <w:bCs/>
          <w:rtl/>
        </w:rPr>
        <w:t xml:space="preserve"> </w:t>
      </w:r>
      <w:r>
        <w:tab/>
      </w:r>
      <w:r>
        <w:tab/>
      </w:r>
      <w:r>
        <w:tab/>
      </w:r>
      <w:r>
        <w:tab/>
      </w:r>
      <w:r>
        <w:rPr>
          <w:rFonts w:hint="cs"/>
          <w:b/>
          <w:bCs/>
          <w:rtl/>
        </w:rPr>
        <w:t>יעל כהן-פארן</w:t>
      </w:r>
      <w:r>
        <w:br/>
      </w:r>
      <w:r>
        <w:rPr>
          <w:rFonts w:hint="cs"/>
          <w:b/>
          <w:bCs/>
          <w:rtl/>
        </w:rPr>
        <w:t xml:space="preserve"> </w:t>
      </w:r>
      <w:r>
        <w:tab/>
      </w:r>
      <w:r>
        <w:tab/>
      </w:r>
      <w:r>
        <w:tab/>
      </w:r>
      <w:r>
        <w:tab/>
      </w:r>
      <w:r>
        <w:rPr>
          <w:rFonts w:hint="cs"/>
          <w:b/>
          <w:bCs/>
          <w:rtl/>
        </w:rPr>
        <w:t>יעל גרמן</w:t>
      </w:r>
      <w:bookmarkEnd w:id="3"/>
    </w:p>
    <w:p w14:paraId="7F6961AA" w14:textId="39F9D96B" w:rsidR="00E13C27" w:rsidRPr="00CF1AA2" w:rsidRDefault="007D585A" w:rsidP="0036422C">
      <w:pPr>
        <w:pStyle w:val="David"/>
        <w:spacing w:before="0" w:line="360" w:lineRule="auto"/>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6" w:name="Private_Number"/>
      <w:r>
        <w:rPr>
          <w:rFonts w:hint="cs"/>
          <w:rtl/>
        </w:rPr>
        <w:t>פ/5242/20</w:t>
      </w:r>
      <w:bookmarkEnd w:id="6"/>
    </w:p>
    <w:p w14:paraId="7F6961AC" w14:textId="77777777" w:rsidR="00E13C27" w:rsidRDefault="00E13C27" w:rsidP="00E13C27">
      <w:pPr>
        <w:spacing w:before="0" w:line="360" w:lineRule="auto"/>
        <w:ind w:left="2880" w:firstLine="720"/>
        <w:rPr>
          <w:rFonts w:cs="David"/>
          <w:sz w:val="26"/>
          <w:szCs w:val="26"/>
          <w:rtl/>
        </w:rPr>
      </w:pPr>
    </w:p>
    <w:p w14:paraId="7F6961AD" w14:textId="3AB63855" w:rsidR="00E13C27" w:rsidRPr="00F67051" w:rsidRDefault="00A443CF" w:rsidP="00266F99">
      <w:pPr>
        <w:pStyle w:val="HeadHatzaotHok"/>
        <w:rPr>
          <w:rtl/>
        </w:rPr>
      </w:pPr>
      <w:bookmarkStart w:id="7" w:name="LGS_Subject"/>
      <w:r>
        <w:rPr>
          <w:rFonts w:hint="cs"/>
          <w:rtl/>
        </w:rPr>
        <w:t xml:space="preserve">הצעת חוק העונשין (תיקון </w:t>
      </w:r>
      <w:r w:rsidR="00266F99">
        <w:rPr>
          <w:rFonts w:hint="eastAsia"/>
          <w:rtl/>
        </w:rPr>
        <w:t>–</w:t>
      </w:r>
      <w:r>
        <w:rPr>
          <w:rFonts w:hint="cs"/>
          <w:rtl/>
        </w:rPr>
        <w:t xml:space="preserve"> זכויות נפגע עבירה לפרסום שמו וזהותו), התשע"ח</w:t>
      </w:r>
      <w:r w:rsidR="00266F99">
        <w:rPr>
          <w:rFonts w:hint="eastAsia"/>
          <w:rtl/>
        </w:rPr>
        <w:t>–</w:t>
      </w:r>
      <w:bookmarkStart w:id="8" w:name="_GoBack"/>
      <w:bookmarkEnd w:id="8"/>
      <w:r>
        <w:rPr>
          <w:rFonts w:hint="cs"/>
          <w:rtl/>
        </w:rPr>
        <w:t>2018</w:t>
      </w:r>
      <w:bookmarkEnd w:id="7"/>
    </w:p>
    <w:p w14:paraId="7F6961AE" w14:textId="77777777" w:rsidR="00E13C27" w:rsidRDefault="00E13C27" w:rsidP="0021633A">
      <w:pPr>
        <w:pStyle w:val="HeadDivreiHesber"/>
        <w:spacing w:before="0" w:after="0"/>
        <w:rPr>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624"/>
        <w:gridCol w:w="6520"/>
      </w:tblGrid>
      <w:tr w:rsidR="00962F1C" w:rsidRPr="00DC4161" w14:paraId="2D39382E" w14:textId="77777777" w:rsidTr="00F254C6">
        <w:trPr>
          <w:cantSplit/>
        </w:trPr>
        <w:tc>
          <w:tcPr>
            <w:tcW w:w="1871" w:type="dxa"/>
          </w:tcPr>
          <w:p w14:paraId="49E57784" w14:textId="77777777" w:rsidR="00962F1C" w:rsidRDefault="00962F1C" w:rsidP="00F254C6">
            <w:pPr>
              <w:pStyle w:val="TableSideHeading"/>
              <w:jc w:val="both"/>
            </w:pPr>
            <w:r>
              <w:rPr>
                <w:rFonts w:hint="cs"/>
                <w:rtl/>
              </w:rPr>
              <w:t>תיקון סעיף 352</w:t>
            </w:r>
          </w:p>
        </w:tc>
        <w:tc>
          <w:tcPr>
            <w:tcW w:w="624" w:type="dxa"/>
          </w:tcPr>
          <w:p w14:paraId="0326CFD5" w14:textId="77777777" w:rsidR="00962F1C" w:rsidRDefault="00962F1C" w:rsidP="00F254C6">
            <w:pPr>
              <w:pStyle w:val="TableText"/>
              <w:jc w:val="both"/>
            </w:pPr>
            <w:r>
              <w:rPr>
                <w:rFonts w:hint="cs"/>
                <w:rtl/>
              </w:rPr>
              <w:t>1.</w:t>
            </w:r>
          </w:p>
        </w:tc>
        <w:tc>
          <w:tcPr>
            <w:tcW w:w="7143" w:type="dxa"/>
            <w:gridSpan w:val="2"/>
          </w:tcPr>
          <w:p w14:paraId="02FFDFCC" w14:textId="77777777" w:rsidR="00962F1C" w:rsidRPr="00493FDA" w:rsidRDefault="00962F1C" w:rsidP="00F254C6">
            <w:pPr>
              <w:pStyle w:val="TableBlock"/>
            </w:pPr>
            <w:r w:rsidRPr="00493FDA">
              <w:rPr>
                <w:rFonts w:hint="cs"/>
                <w:rtl/>
              </w:rPr>
              <w:t xml:space="preserve">בחוק העונשין, </w:t>
            </w:r>
            <w:proofErr w:type="spellStart"/>
            <w:r w:rsidRPr="00493FDA">
              <w:rPr>
                <w:rFonts w:hint="cs"/>
                <w:rtl/>
              </w:rPr>
              <w:t>התשל"ז</w:t>
            </w:r>
            <w:proofErr w:type="spellEnd"/>
            <w:r w:rsidRPr="00493FDA">
              <w:rPr>
                <w:rFonts w:hint="cs"/>
                <w:rtl/>
              </w:rPr>
              <w:t>–1977</w:t>
            </w:r>
            <w:r w:rsidRPr="0056419B">
              <w:rPr>
                <w:szCs w:val="20"/>
                <w:rtl/>
              </w:rPr>
              <w:footnoteReference w:id="2"/>
            </w:r>
            <w:r w:rsidRPr="00493FDA">
              <w:rPr>
                <w:rFonts w:hint="cs"/>
                <w:rtl/>
              </w:rPr>
              <w:t xml:space="preserve">, בסעיף 352 </w:t>
            </w:r>
            <w:r w:rsidRPr="00493FDA">
              <w:rPr>
                <w:rtl/>
              </w:rPr>
              <w:t>–</w:t>
            </w:r>
            <w:r w:rsidRPr="00493FDA">
              <w:rPr>
                <w:rFonts w:hint="cs"/>
                <w:rtl/>
              </w:rPr>
              <w:t xml:space="preserve"> </w:t>
            </w:r>
            <w:r w:rsidRPr="00493FDA">
              <w:t xml:space="preserve">  </w:t>
            </w:r>
          </w:p>
        </w:tc>
      </w:tr>
      <w:tr w:rsidR="00962F1C" w:rsidRPr="00DC4161" w14:paraId="4B7B0CBF" w14:textId="77777777" w:rsidTr="00F254C6">
        <w:trPr>
          <w:cantSplit/>
        </w:trPr>
        <w:tc>
          <w:tcPr>
            <w:tcW w:w="1871" w:type="dxa"/>
          </w:tcPr>
          <w:p w14:paraId="6DC50BD3" w14:textId="77777777" w:rsidR="00962F1C" w:rsidRDefault="00962F1C" w:rsidP="00F254C6">
            <w:pPr>
              <w:pStyle w:val="TableSideHeading"/>
              <w:jc w:val="both"/>
              <w:rPr>
                <w:rtl/>
              </w:rPr>
            </w:pPr>
          </w:p>
        </w:tc>
        <w:tc>
          <w:tcPr>
            <w:tcW w:w="624" w:type="dxa"/>
          </w:tcPr>
          <w:p w14:paraId="3B638D5F" w14:textId="7624CA34" w:rsidR="00962F1C" w:rsidRDefault="00962F1C" w:rsidP="00256DBB">
            <w:pPr>
              <w:pStyle w:val="TableText"/>
              <w:rPr>
                <w:rtl/>
              </w:rPr>
            </w:pPr>
          </w:p>
        </w:tc>
        <w:tc>
          <w:tcPr>
            <w:tcW w:w="7143" w:type="dxa"/>
            <w:gridSpan w:val="2"/>
          </w:tcPr>
          <w:p w14:paraId="753348C1" w14:textId="53B2A69C" w:rsidR="00962F1C" w:rsidRDefault="00256DBB" w:rsidP="00EA28F9">
            <w:pPr>
              <w:pStyle w:val="TableBlock"/>
            </w:pPr>
            <w:r>
              <w:rPr>
                <w:rFonts w:hint="cs"/>
                <w:rtl/>
              </w:rPr>
              <w:t>(1)</w:t>
            </w:r>
            <w:r>
              <w:rPr>
                <w:rtl/>
              </w:rPr>
              <w:tab/>
            </w:r>
            <w:r w:rsidR="00B976C9">
              <w:rPr>
                <w:rFonts w:hint="cs"/>
                <w:rtl/>
              </w:rPr>
              <w:t>בסעיף קטן (ב)</w:t>
            </w:r>
            <w:r w:rsidR="00EA28F9">
              <w:rPr>
                <w:rFonts w:hint="cs"/>
                <w:rtl/>
              </w:rPr>
              <w:t>,</w:t>
            </w:r>
            <w:r w:rsidR="00B976C9">
              <w:rPr>
                <w:rFonts w:hint="cs"/>
                <w:rtl/>
              </w:rPr>
              <w:t xml:space="preserve"> במקום </w:t>
            </w:r>
            <w:proofErr w:type="spellStart"/>
            <w:r w:rsidR="00B976C9">
              <w:rPr>
                <w:rFonts w:hint="cs"/>
                <w:rtl/>
              </w:rPr>
              <w:t>הסיפה</w:t>
            </w:r>
            <w:proofErr w:type="spellEnd"/>
            <w:r w:rsidR="00B976C9">
              <w:rPr>
                <w:rFonts w:hint="cs"/>
                <w:rtl/>
              </w:rPr>
              <w:t xml:space="preserve"> החל במילים "נתן את הסכמתו" יבוא "הוא בגיר ונתן את הסכמתו לפרסום בכתב או אם בית משפט התיר </w:t>
            </w:r>
            <w:r w:rsidR="00EA28F9">
              <w:rPr>
                <w:rFonts w:hint="cs"/>
                <w:rtl/>
              </w:rPr>
              <w:t>את הפרסום מטעמים מיוחדים שיירשמו;</w:t>
            </w:r>
            <w:r w:rsidR="00B976C9">
              <w:rPr>
                <w:rFonts w:hint="cs"/>
                <w:rtl/>
              </w:rPr>
              <w:t xml:space="preserve"> ואולם, הסכמה שבאה בעקבות פניות חוזרות ונשנות תוך הטרדת נפגע העבירה, לא תיחשב כהסכמה."</w:t>
            </w:r>
            <w:r w:rsidR="00EA28F9" w:rsidRPr="00E322DD">
              <w:rPr>
                <w:rFonts w:hint="cs"/>
                <w:rtl/>
              </w:rPr>
              <w:t>;</w:t>
            </w:r>
          </w:p>
        </w:tc>
      </w:tr>
      <w:tr w:rsidR="00B976C9" w:rsidRPr="00DC4161" w14:paraId="3D0ABC6E" w14:textId="77777777" w:rsidTr="00F254C6">
        <w:trPr>
          <w:cantSplit/>
        </w:trPr>
        <w:tc>
          <w:tcPr>
            <w:tcW w:w="1871" w:type="dxa"/>
          </w:tcPr>
          <w:p w14:paraId="68AF65BB" w14:textId="77777777" w:rsidR="00B976C9" w:rsidRDefault="00B976C9" w:rsidP="00F254C6">
            <w:pPr>
              <w:pStyle w:val="TableSideHeading"/>
              <w:jc w:val="both"/>
              <w:rPr>
                <w:rtl/>
              </w:rPr>
            </w:pPr>
          </w:p>
        </w:tc>
        <w:tc>
          <w:tcPr>
            <w:tcW w:w="624" w:type="dxa"/>
          </w:tcPr>
          <w:p w14:paraId="2BDE94D2" w14:textId="25977394" w:rsidR="00B976C9" w:rsidRDefault="00B976C9" w:rsidP="00B976C9">
            <w:pPr>
              <w:pStyle w:val="TableText"/>
              <w:rPr>
                <w:rtl/>
              </w:rPr>
            </w:pPr>
          </w:p>
        </w:tc>
        <w:tc>
          <w:tcPr>
            <w:tcW w:w="7143" w:type="dxa"/>
            <w:gridSpan w:val="2"/>
          </w:tcPr>
          <w:p w14:paraId="1500069F" w14:textId="48AC960D" w:rsidR="00B976C9" w:rsidDel="00B976C9" w:rsidRDefault="00256DBB" w:rsidP="00E322DD">
            <w:pPr>
              <w:pStyle w:val="TableBlock"/>
            </w:pPr>
            <w:r>
              <w:rPr>
                <w:rFonts w:hint="cs"/>
                <w:rtl/>
              </w:rPr>
              <w:t>(2)</w:t>
            </w:r>
            <w:r>
              <w:rPr>
                <w:rtl/>
              </w:rPr>
              <w:tab/>
            </w:r>
            <w:r w:rsidR="00B976C9">
              <w:rPr>
                <w:rFonts w:hint="cs"/>
                <w:rtl/>
              </w:rPr>
              <w:t>אחרי סעיף קטן (ב) יבוא:</w:t>
            </w:r>
          </w:p>
        </w:tc>
      </w:tr>
      <w:tr w:rsidR="00E322DD" w14:paraId="6D8BFCF1" w14:textId="77777777">
        <w:trPr>
          <w:cantSplit/>
          <w:trHeight w:val="60"/>
        </w:trPr>
        <w:tc>
          <w:tcPr>
            <w:tcW w:w="1871" w:type="dxa"/>
          </w:tcPr>
          <w:p w14:paraId="69D23E86" w14:textId="77777777" w:rsidR="00E322DD" w:rsidRDefault="00E322DD">
            <w:pPr>
              <w:pStyle w:val="TableSideHeading"/>
            </w:pPr>
          </w:p>
        </w:tc>
        <w:tc>
          <w:tcPr>
            <w:tcW w:w="624" w:type="dxa"/>
          </w:tcPr>
          <w:p w14:paraId="41B59902" w14:textId="77777777" w:rsidR="00E322DD" w:rsidRDefault="00E322DD">
            <w:pPr>
              <w:pStyle w:val="TableText"/>
            </w:pPr>
          </w:p>
        </w:tc>
        <w:tc>
          <w:tcPr>
            <w:tcW w:w="624" w:type="dxa"/>
          </w:tcPr>
          <w:p w14:paraId="6EBBC501" w14:textId="77777777" w:rsidR="00E322DD" w:rsidRDefault="00E322DD">
            <w:pPr>
              <w:pStyle w:val="TableText"/>
            </w:pPr>
          </w:p>
        </w:tc>
        <w:tc>
          <w:tcPr>
            <w:tcW w:w="6522" w:type="dxa"/>
          </w:tcPr>
          <w:p w14:paraId="3481AB0E" w14:textId="5A65A5FC" w:rsidR="00E322DD" w:rsidRPr="00E322DD" w:rsidRDefault="00E322DD" w:rsidP="00E322DD">
            <w:pPr>
              <w:pStyle w:val="TableBlock"/>
              <w:rPr>
                <w:rFonts w:ascii="Hadasa Roso SL" w:eastAsia="MS Mincho" w:hAnsi="Hadasa Roso SL" w:cs="Hadasa Roso SL"/>
                <w:snapToGrid/>
                <w:spacing w:val="1"/>
                <w:sz w:val="17"/>
                <w:szCs w:val="17"/>
              </w:rPr>
            </w:pPr>
            <w:r>
              <w:rPr>
                <w:rFonts w:hint="cs"/>
                <w:rtl/>
              </w:rPr>
              <w:t>"(ב1)</w:t>
            </w:r>
            <w:r>
              <w:rPr>
                <w:rtl/>
              </w:rPr>
              <w:tab/>
            </w:r>
            <w:r>
              <w:rPr>
                <w:rFonts w:hint="cs"/>
                <w:rtl/>
              </w:rPr>
              <w:t>אדם שנתן את הסכמתו כאמור בסעיף קטן (ב) רשאי לחזור בו מהסכמתו עד למועד הפרסום והסכמתו תהא בטלה.";</w:t>
            </w:r>
          </w:p>
        </w:tc>
      </w:tr>
      <w:tr w:rsidR="00256DBB" w:rsidRPr="00DC4161" w14:paraId="3531CF37" w14:textId="77777777" w:rsidTr="00F254C6">
        <w:trPr>
          <w:cantSplit/>
        </w:trPr>
        <w:tc>
          <w:tcPr>
            <w:tcW w:w="1871" w:type="dxa"/>
          </w:tcPr>
          <w:p w14:paraId="1F555168" w14:textId="77777777" w:rsidR="00256DBB" w:rsidRDefault="00256DBB" w:rsidP="00F254C6">
            <w:pPr>
              <w:pStyle w:val="TableSideHeading"/>
              <w:jc w:val="both"/>
              <w:rPr>
                <w:rtl/>
              </w:rPr>
            </w:pPr>
          </w:p>
        </w:tc>
        <w:tc>
          <w:tcPr>
            <w:tcW w:w="624" w:type="dxa"/>
          </w:tcPr>
          <w:p w14:paraId="2720BE20" w14:textId="77777777" w:rsidR="00256DBB" w:rsidDel="00256DBB" w:rsidRDefault="00256DBB" w:rsidP="00256DBB">
            <w:pPr>
              <w:pStyle w:val="TableText"/>
              <w:rPr>
                <w:rtl/>
              </w:rPr>
            </w:pPr>
          </w:p>
        </w:tc>
        <w:tc>
          <w:tcPr>
            <w:tcW w:w="7143" w:type="dxa"/>
            <w:gridSpan w:val="2"/>
          </w:tcPr>
          <w:p w14:paraId="2E2AA612" w14:textId="27784416" w:rsidR="00256DBB" w:rsidRPr="00256DBB" w:rsidRDefault="00256DBB" w:rsidP="00E322DD">
            <w:pPr>
              <w:pStyle w:val="TableBlock"/>
              <w:rPr>
                <w:rtl/>
              </w:rPr>
            </w:pPr>
            <w:r>
              <w:rPr>
                <w:rFonts w:hint="cs"/>
                <w:rtl/>
              </w:rPr>
              <w:t>(3)</w:t>
            </w:r>
            <w:r>
              <w:rPr>
                <w:rtl/>
              </w:rPr>
              <w:tab/>
            </w:r>
            <w:r>
              <w:rPr>
                <w:rFonts w:hint="cs"/>
                <w:rtl/>
              </w:rPr>
              <w:t>אחרי סעיף קטן (ד) יבוא</w:t>
            </w:r>
            <w:r w:rsidR="00E322DD">
              <w:rPr>
                <w:rFonts w:hint="cs"/>
                <w:rtl/>
              </w:rPr>
              <w:t>:</w:t>
            </w:r>
          </w:p>
        </w:tc>
      </w:tr>
      <w:tr w:rsidR="00E322DD" w14:paraId="46522E93" w14:textId="77777777">
        <w:trPr>
          <w:cantSplit/>
          <w:trHeight w:val="60"/>
        </w:trPr>
        <w:tc>
          <w:tcPr>
            <w:tcW w:w="1871" w:type="dxa"/>
          </w:tcPr>
          <w:p w14:paraId="3FA9C069" w14:textId="77777777" w:rsidR="00E322DD" w:rsidRDefault="00E322DD">
            <w:pPr>
              <w:pStyle w:val="TableSideHeading"/>
            </w:pPr>
          </w:p>
        </w:tc>
        <w:tc>
          <w:tcPr>
            <w:tcW w:w="624" w:type="dxa"/>
          </w:tcPr>
          <w:p w14:paraId="6E4763C5" w14:textId="77777777" w:rsidR="00E322DD" w:rsidRDefault="00E322DD">
            <w:pPr>
              <w:pStyle w:val="TableText"/>
            </w:pPr>
          </w:p>
        </w:tc>
        <w:tc>
          <w:tcPr>
            <w:tcW w:w="624" w:type="dxa"/>
          </w:tcPr>
          <w:p w14:paraId="43CB5E6C" w14:textId="77777777" w:rsidR="00E322DD" w:rsidRDefault="00E322DD">
            <w:pPr>
              <w:pStyle w:val="TableText"/>
            </w:pPr>
          </w:p>
        </w:tc>
        <w:tc>
          <w:tcPr>
            <w:tcW w:w="6522" w:type="dxa"/>
          </w:tcPr>
          <w:p w14:paraId="6BF237C3" w14:textId="0A979DE9" w:rsidR="00E322DD" w:rsidRDefault="00E322DD">
            <w:pPr>
              <w:pStyle w:val="TableBlock"/>
            </w:pPr>
            <w:r>
              <w:rPr>
                <w:rFonts w:hint="cs"/>
                <w:rtl/>
              </w:rPr>
              <w:t>"(ה)</w:t>
            </w:r>
            <w:r>
              <w:rPr>
                <w:rtl/>
              </w:rPr>
              <w:tab/>
            </w:r>
            <w:r>
              <w:rPr>
                <w:rFonts w:hint="cs"/>
                <w:rtl/>
              </w:rPr>
              <w:t>סעיף זה לא יחול על נפגע עבירה או מי שהתלונן כי הוא נפגע עבירה המפרסם ברבים את שמו או כל דבר שיש בו כדי לזהות את עצמו ככזה."</w:t>
            </w:r>
          </w:p>
        </w:tc>
      </w:tr>
    </w:tbl>
    <w:p w14:paraId="70B7AA1B" w14:textId="77777777" w:rsidR="0065124C" w:rsidRDefault="0065124C" w:rsidP="002D1EE3">
      <w:pPr>
        <w:pStyle w:val="HeadDivreiHesber"/>
        <w:rPr>
          <w:rtl/>
        </w:rPr>
      </w:pPr>
      <w:r>
        <w:rPr>
          <w:rtl/>
        </w:rPr>
        <w:br w:type="page"/>
      </w:r>
    </w:p>
    <w:p w14:paraId="7F6961CA" w14:textId="1623A683" w:rsidR="002D1EE3" w:rsidRDefault="002D1EE3" w:rsidP="002D1EE3">
      <w:pPr>
        <w:pStyle w:val="HeadDivreiHesber"/>
        <w:rPr>
          <w:rtl/>
        </w:rPr>
      </w:pPr>
      <w:r w:rsidRPr="0027450A">
        <w:rPr>
          <w:rFonts w:hint="cs"/>
          <w:rtl/>
        </w:rPr>
        <w:lastRenderedPageBreak/>
        <w:t>דברי הסבר</w:t>
      </w:r>
    </w:p>
    <w:p w14:paraId="0377EED7" w14:textId="0A979E9D" w:rsidR="00962F1C" w:rsidRPr="006F0559" w:rsidRDefault="00962F1C" w:rsidP="00962F1C">
      <w:pPr>
        <w:pStyle w:val="Hesber"/>
        <w:rPr>
          <w:rtl/>
        </w:rPr>
      </w:pPr>
      <w:r w:rsidRPr="006F0559">
        <w:rPr>
          <w:rFonts w:hint="cs"/>
          <w:rtl/>
        </w:rPr>
        <w:t xml:space="preserve">חוק העונשין, </w:t>
      </w:r>
      <w:proofErr w:type="spellStart"/>
      <w:r w:rsidRPr="006F0559">
        <w:rPr>
          <w:rFonts w:hint="cs"/>
          <w:rtl/>
        </w:rPr>
        <w:t>התשל"ז</w:t>
      </w:r>
      <w:proofErr w:type="spellEnd"/>
      <w:r w:rsidRPr="006F0559">
        <w:rPr>
          <w:rFonts w:hint="cs"/>
          <w:rtl/>
        </w:rPr>
        <w:t>–</w:t>
      </w:r>
      <w:r>
        <w:rPr>
          <w:rFonts w:hint="cs"/>
          <w:rtl/>
        </w:rPr>
        <w:t xml:space="preserve">1977, </w:t>
      </w:r>
      <w:r w:rsidRPr="006F0559">
        <w:rPr>
          <w:rFonts w:hint="cs"/>
          <w:rtl/>
        </w:rPr>
        <w:t xml:space="preserve">קובע כי המפרסם שמו או זהותו של נפגע עבירת מין או של מתלונן כי נפגע בעבירת מין, ללא </w:t>
      </w:r>
      <w:r>
        <w:rPr>
          <w:rFonts w:hint="cs"/>
          <w:rtl/>
        </w:rPr>
        <w:t xml:space="preserve">מתן הסכמתו בפני </w:t>
      </w:r>
      <w:r w:rsidRPr="006F0559">
        <w:rPr>
          <w:rFonts w:hint="cs"/>
          <w:rtl/>
        </w:rPr>
        <w:t xml:space="preserve">בית המשפט – דינו מאסר שנה. באופן פרדוקסלי, איסור זה חל גם על כלי תקשורת המראיין את נפגע העבירה או </w:t>
      </w:r>
      <w:r>
        <w:rPr>
          <w:rFonts w:hint="cs"/>
          <w:rtl/>
        </w:rPr>
        <w:t xml:space="preserve">את </w:t>
      </w:r>
      <w:r w:rsidRPr="006F0559">
        <w:rPr>
          <w:rFonts w:hint="cs"/>
          <w:rtl/>
        </w:rPr>
        <w:t xml:space="preserve">מי שהתלונן כי נפגע מעבירות מין וכך נפגעי העבירה אינם יכולים לפרסם את שמם או זהותם ללא הליך </w:t>
      </w:r>
      <w:r w:rsidR="00414A4D">
        <w:rPr>
          <w:rFonts w:hint="cs"/>
          <w:rtl/>
        </w:rPr>
        <w:t xml:space="preserve">של </w:t>
      </w:r>
      <w:r w:rsidRPr="006F0559">
        <w:rPr>
          <w:rFonts w:hint="cs"/>
          <w:rtl/>
        </w:rPr>
        <w:t xml:space="preserve">אישור </w:t>
      </w:r>
      <w:r w:rsidR="00414A4D">
        <w:rPr>
          <w:rFonts w:hint="cs"/>
          <w:rtl/>
        </w:rPr>
        <w:t>ב</w:t>
      </w:r>
      <w:r w:rsidRPr="006F0559">
        <w:rPr>
          <w:rFonts w:hint="cs"/>
          <w:rtl/>
        </w:rPr>
        <w:t xml:space="preserve">בית המשפט. </w:t>
      </w:r>
    </w:p>
    <w:p w14:paraId="2B125FB6" w14:textId="44C2473F" w:rsidR="00962F1C" w:rsidRPr="006F0559" w:rsidRDefault="00962F1C" w:rsidP="00E322DD">
      <w:pPr>
        <w:pStyle w:val="Hesber"/>
        <w:rPr>
          <w:rtl/>
        </w:rPr>
      </w:pPr>
      <w:r w:rsidRPr="006F0559">
        <w:rPr>
          <w:rFonts w:hint="cs"/>
          <w:rtl/>
        </w:rPr>
        <w:t xml:space="preserve">במצב זה, מוטל נטל כבד על נפגעים או מתלוננים המעוניינים לשתף את הסיפור שלהם, ובאמצעות השיתוף לקבל תמיכה והזדהות, ולעורר מודעות ציבורית לנושא. </w:t>
      </w:r>
      <w:r w:rsidR="00E322DD">
        <w:rPr>
          <w:rFonts w:hint="cs"/>
          <w:rtl/>
        </w:rPr>
        <w:t>כמו כן</w:t>
      </w:r>
      <w:r w:rsidRPr="006F0559">
        <w:rPr>
          <w:rFonts w:hint="cs"/>
          <w:rtl/>
        </w:rPr>
        <w:t>,</w:t>
      </w:r>
      <w:r w:rsidR="00414A4D">
        <w:rPr>
          <w:rFonts w:hint="cs"/>
          <w:rtl/>
        </w:rPr>
        <w:t xml:space="preserve"> מוטל</w:t>
      </w:r>
      <w:r w:rsidRPr="006F0559">
        <w:rPr>
          <w:rFonts w:hint="cs"/>
          <w:rtl/>
        </w:rPr>
        <w:t xml:space="preserve"> נטל כבד על גורמים עיתונאיים שמעוניינים לסקר סיפורים בנושא עבירות מין ולעורר שיח ציבורי בנושא תקיפות מיניות שכן הם נאלצים ללכת לבית משפט, גם אם ניתנה הסכמת הנפגע, אחרת יהיו חשופים </w:t>
      </w:r>
      <w:r>
        <w:rPr>
          <w:rFonts w:hint="cs"/>
          <w:rtl/>
        </w:rPr>
        <w:t>ל</w:t>
      </w:r>
      <w:r w:rsidRPr="006F0559">
        <w:rPr>
          <w:rFonts w:hint="cs"/>
          <w:rtl/>
        </w:rPr>
        <w:t>איום של שנת מאסר.</w:t>
      </w:r>
    </w:p>
    <w:p w14:paraId="7AEE8608" w14:textId="49458C1E" w:rsidR="00962F1C" w:rsidRPr="006F0559" w:rsidRDefault="00962F1C" w:rsidP="00F6433F">
      <w:pPr>
        <w:pStyle w:val="Hesber"/>
        <w:rPr>
          <w:rtl/>
        </w:rPr>
      </w:pPr>
      <w:r w:rsidRPr="006F0559">
        <w:rPr>
          <w:rFonts w:hint="cs"/>
          <w:rtl/>
        </w:rPr>
        <w:t xml:space="preserve">הצעת החוק </w:t>
      </w:r>
      <w:r>
        <w:rPr>
          <w:rFonts w:hint="cs"/>
          <w:rtl/>
        </w:rPr>
        <w:t>נועדה לאפשר</w:t>
      </w:r>
      <w:r w:rsidRPr="006F0559">
        <w:rPr>
          <w:rFonts w:hint="cs"/>
          <w:rtl/>
        </w:rPr>
        <w:t xml:space="preserve"> לנפגעי העבירה ולמתלוננים לחשוף את פרטיהם ולשתף את הסיפור שלהם, אם באמצעי התקשורת ואם ברשתות החברתיות, ללא </w:t>
      </w:r>
      <w:r w:rsidR="00F6433F">
        <w:rPr>
          <w:rFonts w:hint="cs"/>
          <w:rtl/>
        </w:rPr>
        <w:t>חשש מעונש המאסר</w:t>
      </w:r>
      <w:r w:rsidRPr="006F0559">
        <w:rPr>
          <w:rFonts w:hint="cs"/>
          <w:rtl/>
        </w:rPr>
        <w:t>. ההצעה גם מאפשרת לעיתונאים לסקר את המקרים ולפרסם את שם הנפגע או המתלונן, אם הוא בגיר ולאחר</w:t>
      </w:r>
      <w:r w:rsidR="00414A4D">
        <w:rPr>
          <w:rFonts w:hint="cs"/>
          <w:rtl/>
        </w:rPr>
        <w:t xml:space="preserve"> שנתן</w:t>
      </w:r>
      <w:r w:rsidRPr="006F0559">
        <w:rPr>
          <w:rFonts w:hint="cs"/>
          <w:rtl/>
        </w:rPr>
        <w:t xml:space="preserve"> הסכמתו </w:t>
      </w:r>
      <w:r w:rsidR="00414A4D">
        <w:rPr>
          <w:rFonts w:hint="cs"/>
          <w:rtl/>
        </w:rPr>
        <w:t xml:space="preserve"> בכתב</w:t>
      </w:r>
      <w:r w:rsidRPr="006F0559">
        <w:rPr>
          <w:rFonts w:hint="cs"/>
          <w:rtl/>
        </w:rPr>
        <w:t>,</w:t>
      </w:r>
      <w:r>
        <w:rPr>
          <w:rFonts w:hint="cs"/>
          <w:rtl/>
        </w:rPr>
        <w:t xml:space="preserve"> מבלי להזדקק ל</w:t>
      </w:r>
      <w:r w:rsidRPr="006F0559">
        <w:rPr>
          <w:rFonts w:hint="cs"/>
          <w:rtl/>
        </w:rPr>
        <w:t xml:space="preserve">בית המשפט. </w:t>
      </w:r>
    </w:p>
    <w:p w14:paraId="2B98D499" w14:textId="072D0D69" w:rsidR="00962F1C" w:rsidRDefault="00962F1C" w:rsidP="00BB677E">
      <w:pPr>
        <w:pStyle w:val="Hesber"/>
        <w:rPr>
          <w:rtl/>
        </w:rPr>
      </w:pPr>
      <w:r>
        <w:rPr>
          <w:rFonts w:hint="cs"/>
          <w:rtl/>
        </w:rPr>
        <w:t xml:space="preserve">כמו כן, </w:t>
      </w:r>
      <w:r w:rsidR="00BB677E">
        <w:rPr>
          <w:rFonts w:hint="cs"/>
          <w:rtl/>
        </w:rPr>
        <w:t>כדי</w:t>
      </w:r>
      <w:r w:rsidRPr="006F0559">
        <w:rPr>
          <w:rFonts w:hint="cs"/>
          <w:rtl/>
        </w:rPr>
        <w:t xml:space="preserve"> להגן על נפגעי העבירה מוצע </w:t>
      </w:r>
      <w:r>
        <w:rPr>
          <w:rFonts w:hint="cs"/>
          <w:rtl/>
        </w:rPr>
        <w:t>לקבוע</w:t>
      </w:r>
      <w:r w:rsidRPr="006F0559">
        <w:rPr>
          <w:rFonts w:hint="cs"/>
          <w:rtl/>
        </w:rPr>
        <w:t xml:space="preserve"> כי נפגע שנתן הסכמתו לפרסום שמו או זהותו והתחרט על כך, יוכל לחזור בו מהסכמתו עד למועד הפרסום.</w:t>
      </w:r>
    </w:p>
    <w:p w14:paraId="7F6961CB" w14:textId="1E074340" w:rsidR="00E13C27" w:rsidRDefault="00414A4D" w:rsidP="00BB677E">
      <w:pPr>
        <w:pStyle w:val="Hesber"/>
        <w:rPr>
          <w:rtl/>
        </w:rPr>
      </w:pPr>
      <w:r>
        <w:rPr>
          <w:rFonts w:hint="cs"/>
          <w:rtl/>
        </w:rPr>
        <w:t>הצעות חוק דומות בעיקרן הונחו על שולחן הכ</w:t>
      </w:r>
      <w:r w:rsidR="00BB677E">
        <w:rPr>
          <w:rFonts w:hint="cs"/>
          <w:rtl/>
        </w:rPr>
        <w:t>נסת העשרים על ידי חברת הכנסת שר</w:t>
      </w:r>
      <w:r>
        <w:rPr>
          <w:rFonts w:hint="cs"/>
          <w:rtl/>
        </w:rPr>
        <w:t xml:space="preserve">ן השכל (פ/4871/20), על ידי חברת הכנסת אורלי לוי </w:t>
      </w:r>
      <w:proofErr w:type="spellStart"/>
      <w:r>
        <w:rPr>
          <w:rFonts w:hint="cs"/>
          <w:rtl/>
        </w:rPr>
        <w:t>אבקסיס</w:t>
      </w:r>
      <w:proofErr w:type="spellEnd"/>
      <w:r>
        <w:rPr>
          <w:rFonts w:hint="cs"/>
          <w:rtl/>
        </w:rPr>
        <w:t xml:space="preserve"> (פ/4775/20), על ידי חברת הכנסת אורלי לוי </w:t>
      </w:r>
      <w:proofErr w:type="spellStart"/>
      <w:r>
        <w:rPr>
          <w:rFonts w:hint="cs"/>
          <w:rtl/>
        </w:rPr>
        <w:t>אבקסיס</w:t>
      </w:r>
      <w:proofErr w:type="spellEnd"/>
      <w:r>
        <w:rPr>
          <w:rFonts w:hint="cs"/>
          <w:rtl/>
        </w:rPr>
        <w:t xml:space="preserve"> וקבוצת חברי הכנסת (פ/3848/20</w:t>
      </w:r>
      <w:r w:rsidR="00BB677E">
        <w:rPr>
          <w:rFonts w:hint="cs"/>
          <w:rtl/>
        </w:rPr>
        <w:t>;</w:t>
      </w:r>
      <w:r>
        <w:rPr>
          <w:rFonts w:hint="cs"/>
          <w:rtl/>
        </w:rPr>
        <w:t xml:space="preserve"> הוסרה מסדר היום ביום כ"ו בחשוון </w:t>
      </w:r>
      <w:proofErr w:type="spellStart"/>
      <w:r>
        <w:rPr>
          <w:rFonts w:hint="cs"/>
          <w:rtl/>
        </w:rPr>
        <w:t>התשס"ח</w:t>
      </w:r>
      <w:proofErr w:type="spellEnd"/>
      <w:r>
        <w:rPr>
          <w:rFonts w:hint="cs"/>
          <w:rtl/>
        </w:rPr>
        <w:t xml:space="preserve"> (15 בנובמבר 2017))</w:t>
      </w:r>
      <w:r w:rsidR="00BB677E">
        <w:rPr>
          <w:rFonts w:hint="cs"/>
          <w:rtl/>
        </w:rPr>
        <w:t>,</w:t>
      </w:r>
      <w:r>
        <w:rPr>
          <w:rFonts w:hint="cs"/>
          <w:rtl/>
        </w:rPr>
        <w:t xml:space="preserve"> ועל ידי חברת הכנסת עליזה לביא וקבוצת חברי הכנסת (פ/3849/20).</w:t>
      </w:r>
    </w:p>
    <w:p w14:paraId="5F417834" w14:textId="791A17D2" w:rsidR="00E322DD" w:rsidRDefault="00E322DD" w:rsidP="00BB677E">
      <w:pPr>
        <w:pStyle w:val="Hesber"/>
        <w:rPr>
          <w:rtl/>
        </w:rPr>
      </w:pPr>
    </w:p>
    <w:p w14:paraId="46FD28FC" w14:textId="77777777" w:rsidR="00E322DD" w:rsidRDefault="00E322DD" w:rsidP="00BB677E">
      <w:pPr>
        <w:pStyle w:val="Hesber"/>
        <w:rPr>
          <w:rtl/>
        </w:rPr>
      </w:pPr>
    </w:p>
    <w:p w14:paraId="2869F836" w14:textId="77777777" w:rsidR="00E322DD" w:rsidRPr="00D73212" w:rsidRDefault="00E322DD" w:rsidP="00E322DD">
      <w:pPr>
        <w:pStyle w:val="Hesber"/>
        <w:rPr>
          <w:color w:val="auto"/>
          <w:rtl/>
          <w:lang w:eastAsia="en-US"/>
        </w:rPr>
      </w:pPr>
      <w:r w:rsidRPr="00D73212">
        <w:rPr>
          <w:color w:val="auto"/>
          <w:rtl/>
          <w:lang w:eastAsia="en-US"/>
        </w:rPr>
        <w:t>---------------------------------</w:t>
      </w:r>
    </w:p>
    <w:p w14:paraId="0463FD2C" w14:textId="77777777" w:rsidR="00E322DD" w:rsidRPr="00D73212" w:rsidRDefault="00E322DD" w:rsidP="00E322DD">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0AF43464" w14:textId="77777777" w:rsidR="00E322DD" w:rsidRPr="00D73212" w:rsidRDefault="00E322DD" w:rsidP="00E322DD">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558A84AB" w14:textId="77777777" w:rsidR="00E322DD" w:rsidRPr="00317312" w:rsidRDefault="00E322DD" w:rsidP="00E322DD">
      <w:pPr>
        <w:pStyle w:val="Hesber"/>
      </w:pPr>
      <w:r>
        <w:rPr>
          <w:rFonts w:hint="cs"/>
          <w:color w:val="auto"/>
          <w:rtl/>
          <w:lang w:eastAsia="en-US"/>
        </w:rPr>
        <w:t>כ"ז באדר</w:t>
      </w:r>
      <w:r w:rsidRPr="00D73212">
        <w:rPr>
          <w:color w:val="auto"/>
          <w:rtl/>
          <w:lang w:eastAsia="en-US"/>
        </w:rPr>
        <w:t xml:space="preserve"> </w:t>
      </w:r>
      <w:proofErr w:type="spellStart"/>
      <w:r w:rsidRPr="00D73212">
        <w:rPr>
          <w:rFonts w:hint="cs"/>
          <w:color w:val="auto"/>
          <w:rtl/>
          <w:lang w:eastAsia="en-US"/>
        </w:rPr>
        <w:t>התשע</w:t>
      </w:r>
      <w:r w:rsidRPr="00D73212">
        <w:rPr>
          <w:color w:val="auto"/>
          <w:rtl/>
          <w:lang w:eastAsia="en-US"/>
        </w:rPr>
        <w:t>"</w:t>
      </w:r>
      <w:r>
        <w:rPr>
          <w:rFonts w:hint="cs"/>
          <w:color w:val="auto"/>
          <w:rtl/>
          <w:lang w:eastAsia="en-US"/>
        </w:rPr>
        <w:t>ח</w:t>
      </w:r>
      <w:proofErr w:type="spellEnd"/>
      <w:r w:rsidRPr="00D73212">
        <w:rPr>
          <w:color w:val="auto"/>
          <w:rtl/>
          <w:lang w:eastAsia="en-US"/>
        </w:rPr>
        <w:t xml:space="preserve"> – </w:t>
      </w:r>
      <w:r>
        <w:rPr>
          <w:rFonts w:hint="cs"/>
          <w:color w:val="auto"/>
          <w:rtl/>
          <w:lang w:eastAsia="en-US"/>
        </w:rPr>
        <w:t>14.3.18</w:t>
      </w:r>
    </w:p>
    <w:p w14:paraId="6828AD7E" w14:textId="77777777" w:rsidR="00E322DD" w:rsidRDefault="00E322DD" w:rsidP="00BB677E">
      <w:pPr>
        <w:pStyle w:val="Hesber"/>
        <w:rPr>
          <w:rtl/>
        </w:rPr>
      </w:pPr>
    </w:p>
    <w:sectPr w:rsidR="00E322DD"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266F99">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 w:id="2">
    <w:p w14:paraId="270B8A72" w14:textId="77777777" w:rsidR="00962F1C" w:rsidRDefault="00962F1C" w:rsidP="00962F1C">
      <w:pPr>
        <w:pStyle w:val="a4"/>
      </w:pPr>
      <w:r>
        <w:rPr>
          <w:rStyle w:val="a5"/>
        </w:rPr>
        <w:footnoteRef/>
      </w:r>
      <w:r>
        <w:rPr>
          <w:rtl/>
        </w:rPr>
        <w:t xml:space="preserve"> </w:t>
      </w:r>
      <w:r>
        <w:rPr>
          <w:rFonts w:hint="cs"/>
          <w:rtl/>
        </w:rPr>
        <w:t xml:space="preserve">ס"ח </w:t>
      </w:r>
      <w:proofErr w:type="spellStart"/>
      <w:r>
        <w:rPr>
          <w:rFonts w:hint="cs"/>
          <w:rtl/>
        </w:rPr>
        <w:t>התשל"ז</w:t>
      </w:r>
      <w:proofErr w:type="spellEnd"/>
      <w:r>
        <w:rPr>
          <w:rFonts w:hint="cs"/>
          <w:rtl/>
        </w:rPr>
        <w:t>, עמ' 226.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95A01"/>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56DBB"/>
    <w:rsid w:val="00266D86"/>
    <w:rsid w:val="00266F99"/>
    <w:rsid w:val="002728B4"/>
    <w:rsid w:val="0027600C"/>
    <w:rsid w:val="00292712"/>
    <w:rsid w:val="002A487D"/>
    <w:rsid w:val="002C2E29"/>
    <w:rsid w:val="002C3041"/>
    <w:rsid w:val="002D1EE3"/>
    <w:rsid w:val="002F1D80"/>
    <w:rsid w:val="003232A2"/>
    <w:rsid w:val="00325C14"/>
    <w:rsid w:val="00356A4C"/>
    <w:rsid w:val="0036422C"/>
    <w:rsid w:val="003710F6"/>
    <w:rsid w:val="00386E88"/>
    <w:rsid w:val="00396585"/>
    <w:rsid w:val="003D6E38"/>
    <w:rsid w:val="003D74A0"/>
    <w:rsid w:val="004033D8"/>
    <w:rsid w:val="004073F0"/>
    <w:rsid w:val="00412A7D"/>
    <w:rsid w:val="00414A4D"/>
    <w:rsid w:val="00416B4D"/>
    <w:rsid w:val="00417CFC"/>
    <w:rsid w:val="004A06DC"/>
    <w:rsid w:val="004B24ED"/>
    <w:rsid w:val="004B6625"/>
    <w:rsid w:val="004D2D82"/>
    <w:rsid w:val="004D3876"/>
    <w:rsid w:val="004E4552"/>
    <w:rsid w:val="004E6CDF"/>
    <w:rsid w:val="00553C9D"/>
    <w:rsid w:val="00562A66"/>
    <w:rsid w:val="005B064E"/>
    <w:rsid w:val="005D51AE"/>
    <w:rsid w:val="005F3AB2"/>
    <w:rsid w:val="0062674B"/>
    <w:rsid w:val="006363B2"/>
    <w:rsid w:val="00644940"/>
    <w:rsid w:val="0065124C"/>
    <w:rsid w:val="006818A9"/>
    <w:rsid w:val="006A2D81"/>
    <w:rsid w:val="006C1D0D"/>
    <w:rsid w:val="0070601E"/>
    <w:rsid w:val="00712C72"/>
    <w:rsid w:val="00735FE9"/>
    <w:rsid w:val="00763CAA"/>
    <w:rsid w:val="00765F66"/>
    <w:rsid w:val="0078664F"/>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2F1C"/>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976C9"/>
    <w:rsid w:val="00BB677E"/>
    <w:rsid w:val="00BC45FB"/>
    <w:rsid w:val="00BF148D"/>
    <w:rsid w:val="00C23B1A"/>
    <w:rsid w:val="00C310EB"/>
    <w:rsid w:val="00C9176A"/>
    <w:rsid w:val="00CF1AA2"/>
    <w:rsid w:val="00D17774"/>
    <w:rsid w:val="00D63620"/>
    <w:rsid w:val="00D8410D"/>
    <w:rsid w:val="00D867D7"/>
    <w:rsid w:val="00DB7060"/>
    <w:rsid w:val="00DE3153"/>
    <w:rsid w:val="00E06736"/>
    <w:rsid w:val="00E13C27"/>
    <w:rsid w:val="00E322DD"/>
    <w:rsid w:val="00E33BBD"/>
    <w:rsid w:val="00E374F2"/>
    <w:rsid w:val="00E45103"/>
    <w:rsid w:val="00E55A60"/>
    <w:rsid w:val="00E62778"/>
    <w:rsid w:val="00E63D38"/>
    <w:rsid w:val="00E665B9"/>
    <w:rsid w:val="00EA01E6"/>
    <w:rsid w:val="00EA28F9"/>
    <w:rsid w:val="00EA3DE8"/>
    <w:rsid w:val="00EA758F"/>
    <w:rsid w:val="00ED4A6F"/>
    <w:rsid w:val="00EF3A3A"/>
    <w:rsid w:val="00F628D6"/>
    <w:rsid w:val="00F6433F"/>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aliases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6">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7">
    <w:name w:val="header"/>
    <w:basedOn w:val="a"/>
    <w:rsid w:val="00B975AD"/>
    <w:pPr>
      <w:tabs>
        <w:tab w:val="center" w:pos="4153"/>
        <w:tab w:val="right" w:pos="8306"/>
      </w:tabs>
    </w:pPr>
  </w:style>
  <w:style w:type="paragraph" w:styleId="a8">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325C14"/>
    <w:pPr>
      <w:spacing w:before="0"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46F61-1C87-4200-B9B6-DAF6CB1E1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F5E803E-FBDC-4D89-839E-DABB5B35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429</Words>
  <Characters>2132</Characters>
  <Application>Microsoft Office Word</Application>
  <DocSecurity>0</DocSecurity>
  <Lines>17</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אילת וולברג</cp:lastModifiedBy>
  <cp:revision>13</cp:revision>
  <cp:lastPrinted>2018-03-13T08:35:00Z</cp:lastPrinted>
  <dcterms:created xsi:type="dcterms:W3CDTF">2015-04-20T09:58:00Z</dcterms:created>
  <dcterms:modified xsi:type="dcterms:W3CDTF">2018-03-13T11:55:00Z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2065876</vt:r8>
  </property>
</Properties>
</file>