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961A1" w14:textId="77777777" w:rsidR="002C2E29" w:rsidRPr="0000131B" w:rsidRDefault="004033D8" w:rsidP="007D5335">
      <w:pPr>
        <w:pStyle w:val="HeadHatzaotHok"/>
        <w:pBdr>
          <w:bottom w:val="single" w:sz="4" w:space="1" w:color="auto"/>
        </w:pBdr>
        <w:jc w:val="right"/>
        <w:rPr>
          <w:b w:val="0"/>
          <w:bCs w:val="0"/>
          <w:szCs w:val="20"/>
        </w:rPr>
      </w:pPr>
      <w:bookmarkStart w:id="0" w:name="_GoBack"/>
      <w:r w:rsidRPr="0000131B">
        <w:rPr>
          <w:rFonts w:hint="cs"/>
          <w:b w:val="0"/>
          <w:bCs w:val="0"/>
          <w:szCs w:val="20"/>
          <w:rtl/>
        </w:rPr>
        <w:t xml:space="preserve">מספר פנימי: </w:t>
      </w:r>
      <w:bookmarkStart w:id="1" w:name="LGS_Internal_ID"/>
      <w:r>
        <w:rPr>
          <w:rFonts w:hint="cs"/>
          <w:b w:val="0"/>
          <w:bCs w:val="0"/>
          <w:szCs w:val="20"/>
          <w:rtl/>
        </w:rPr>
        <w:t>566185</w:t>
      </w:r>
      <w:bookmarkEnd w:id="1"/>
    </w:p>
    <w:bookmarkEnd w:id="0"/>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3" w:name="LGS_Initiators_List"/>
      <w:r>
        <w:rPr>
          <w:b/>
          <w:bCs/>
          <w:rtl/>
        </w:rPr>
        <w:t>יוזמים:      חברי הכנסת</w:t>
      </w:r>
      <w:bookmarkEnd w:id="3"/>
      <w:r w:rsidR="00B35784" w:rsidRPr="00F67051">
        <w:rPr>
          <w:b/>
          <w:bCs/>
        </w:rPr>
        <w:tab/>
      </w:r>
      <w:bookmarkStart w:id="4" w:name="LGS_PM_Names"/>
      <w:r>
        <w:rPr>
          <w:rFonts w:hint="cs"/>
          <w:b/>
          <w:bCs/>
          <w:rtl/>
        </w:rPr>
        <w:t>עליזה לביא</w:t>
      </w:r>
      <w:r>
        <w:br/>
      </w:r>
      <w:r>
        <w:rPr>
          <w:rFonts w:hint="cs"/>
          <w:b/>
          <w:bCs/>
          <w:rtl/>
        </w:rPr>
        <w:t xml:space="preserve"> </w:t>
      </w:r>
      <w:r>
        <w:tab/>
      </w:r>
      <w:r>
        <w:tab/>
      </w:r>
      <w:r>
        <w:tab/>
      </w:r>
      <w:r>
        <w:tab/>
      </w:r>
      <w:r>
        <w:rPr>
          <w:rFonts w:hint="cs"/>
          <w:b/>
          <w:bCs/>
          <w:rtl/>
        </w:rPr>
        <w:t>נורית קורן</w:t>
      </w:r>
      <w:r>
        <w:br/>
      </w:r>
      <w:r>
        <w:rPr>
          <w:rFonts w:hint="cs"/>
          <w:b/>
          <w:bCs/>
          <w:rtl/>
        </w:rPr>
        <w:t xml:space="preserve"> </w:t>
      </w:r>
      <w:r>
        <w:tab/>
      </w:r>
      <w:r>
        <w:tab/>
      </w:r>
      <w:r>
        <w:tab/>
      </w:r>
      <w:r>
        <w:tab/>
      </w:r>
      <w:r>
        <w:rPr>
          <w:rFonts w:hint="cs"/>
          <w:b/>
          <w:bCs/>
          <w:rtl/>
        </w:rPr>
        <w:t>רויטל סויד</w:t>
      </w:r>
      <w:r>
        <w:br/>
      </w:r>
      <w:r>
        <w:rPr>
          <w:rFonts w:hint="cs"/>
          <w:b/>
          <w:bCs/>
          <w:rtl/>
        </w:rPr>
        <w:t xml:space="preserve"> </w:t>
      </w:r>
      <w:r>
        <w:tab/>
      </w:r>
      <w:r>
        <w:tab/>
      </w:r>
      <w:r>
        <w:tab/>
      </w:r>
      <w:r>
        <w:tab/>
      </w:r>
      <w:r>
        <w:rPr>
          <w:rFonts w:hint="cs"/>
          <w:b/>
          <w:bCs/>
          <w:rtl/>
        </w:rPr>
        <w:t>זהבה גלאון</w:t>
      </w:r>
      <w:r>
        <w:br/>
      </w:r>
      <w:r>
        <w:rPr>
          <w:rFonts w:hint="cs"/>
          <w:b/>
          <w:bCs/>
          <w:rtl/>
        </w:rPr>
        <w:t xml:space="preserve"> </w:t>
      </w:r>
      <w:r>
        <w:tab/>
      </w:r>
      <w:r>
        <w:tab/>
      </w:r>
      <w:r>
        <w:tab/>
      </w:r>
      <w:r>
        <w:tab/>
      </w:r>
      <w:r>
        <w:rPr>
          <w:rFonts w:hint="cs"/>
          <w:b/>
          <w:bCs/>
          <w:rtl/>
        </w:rPr>
        <w:t>איתן כבל</w:t>
      </w:r>
      <w:r>
        <w:br/>
      </w:r>
      <w:r>
        <w:rPr>
          <w:rFonts w:hint="cs"/>
          <w:b/>
          <w:bCs/>
          <w:rtl/>
        </w:rPr>
        <w:t xml:space="preserve"> </w:t>
      </w:r>
      <w:r>
        <w:tab/>
      </w:r>
      <w:r>
        <w:tab/>
      </w:r>
      <w:r>
        <w:tab/>
      </w:r>
      <w:r>
        <w:tab/>
      </w:r>
      <w:r>
        <w:rPr>
          <w:rFonts w:hint="cs"/>
          <w:b/>
          <w:bCs/>
          <w:rtl/>
        </w:rPr>
        <w:t xml:space="preserve">מיכל </w:t>
      </w:r>
      <w:proofErr w:type="spellStart"/>
      <w:r>
        <w:rPr>
          <w:rFonts w:hint="cs"/>
          <w:b/>
          <w:bCs/>
          <w:rtl/>
        </w:rPr>
        <w:t>רוזין</w:t>
      </w:r>
      <w:proofErr w:type="spellEnd"/>
      <w:r>
        <w:br/>
      </w:r>
      <w:r>
        <w:rPr>
          <w:rFonts w:hint="cs"/>
          <w:b/>
          <w:bCs/>
          <w:rtl/>
        </w:rPr>
        <w:t xml:space="preserve"> </w:t>
      </w:r>
      <w:r>
        <w:tab/>
      </w:r>
      <w:r>
        <w:tab/>
      </w:r>
      <w:r>
        <w:tab/>
      </w:r>
      <w:r>
        <w:tab/>
      </w:r>
      <w:r>
        <w:rPr>
          <w:rFonts w:hint="cs"/>
          <w:b/>
          <w:bCs/>
          <w:rtl/>
        </w:rPr>
        <w:t>איילת נחמיאס ורבין</w:t>
      </w:r>
      <w:r>
        <w:br/>
      </w:r>
      <w:r>
        <w:rPr>
          <w:rFonts w:hint="cs"/>
          <w:b/>
          <w:bCs/>
          <w:rtl/>
        </w:rPr>
        <w:t xml:space="preserve"> </w:t>
      </w:r>
      <w:r>
        <w:tab/>
      </w:r>
      <w:r>
        <w:tab/>
      </w:r>
      <w:r>
        <w:tab/>
      </w:r>
      <w:r>
        <w:tab/>
      </w:r>
      <w:r>
        <w:rPr>
          <w:rFonts w:hint="cs"/>
          <w:b/>
          <w:bCs/>
          <w:rtl/>
        </w:rPr>
        <w:t xml:space="preserve">אורלי לוי </w:t>
      </w:r>
      <w:proofErr w:type="spellStart"/>
      <w:r>
        <w:rPr>
          <w:rFonts w:hint="cs"/>
          <w:b/>
          <w:bCs/>
          <w:rtl/>
        </w:rPr>
        <w:t>אבקסיס</w:t>
      </w:r>
      <w:proofErr w:type="spellEnd"/>
      <w:r>
        <w:br/>
      </w:r>
      <w:r>
        <w:rPr>
          <w:rFonts w:hint="cs"/>
          <w:b/>
          <w:bCs/>
          <w:rtl/>
        </w:rPr>
        <w:t xml:space="preserve"> </w:t>
      </w:r>
      <w:r>
        <w:tab/>
      </w:r>
      <w:r>
        <w:tab/>
      </w:r>
      <w:r>
        <w:tab/>
      </w:r>
      <w:r>
        <w:tab/>
      </w:r>
      <w:r>
        <w:rPr>
          <w:rFonts w:hint="cs"/>
          <w:b/>
          <w:bCs/>
          <w:rtl/>
        </w:rPr>
        <w:t>מירב בן ארי</w:t>
      </w:r>
      <w:bookmarkEnd w:id="4"/>
    </w:p>
    <w:p w14:paraId="7F6961AA" w14:textId="39F9D96B" w:rsidR="00E13C27" w:rsidRPr="00CF1AA2" w:rsidRDefault="007D585A" w:rsidP="0036422C">
      <w:pPr>
        <w:pStyle w:val="David"/>
        <w:spacing w:before="0" w:line="360" w:lineRule="auto"/>
        <w:ind w:left="3544"/>
        <w:rPr>
          <w:b/>
          <w:bCs/>
          <w:sz w:val="16"/>
          <w:szCs w:val="16"/>
          <w:rtl/>
        </w:rPr>
      </w:pPr>
      <w:bookmarkStart w:id="5" w:name="LGS_Join_List"/>
      <w:r>
        <w:rPr>
          <w:rtl/>
        </w:rPr>
        <w:t xml:space="preserve"> </w:t>
      </w:r>
      <w:bookmarkEnd w:id="5"/>
      <w:r w:rsidR="002200A1" w:rsidRPr="00CF1AA2">
        <w:rPr>
          <w:rFonts w:hint="cs"/>
          <w:rtl/>
        </w:rPr>
        <w:tab/>
      </w:r>
      <w:bookmarkStart w:id="6" w:name="LGS_PM_NamesJoin"/>
      <w:r>
        <w:rPr>
          <w:rFonts w:hint="cs"/>
          <w:rtl/>
        </w:rPr>
        <w:t xml:space="preserve"> </w:t>
      </w:r>
      <w:bookmarkEnd w:id="6"/>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7" w:name="Private_Number"/>
      <w:r>
        <w:rPr>
          <w:rFonts w:hint="cs"/>
          <w:rtl/>
        </w:rPr>
        <w:t xml:space="preserve"> </w:t>
      </w:r>
      <w:bookmarkEnd w:id="7"/>
    </w:p>
    <w:p w14:paraId="7F6961AC" w14:textId="77777777" w:rsidR="00E13C27" w:rsidRDefault="00E13C27" w:rsidP="00E13C27">
      <w:pPr>
        <w:spacing w:before="0" w:line="360" w:lineRule="auto"/>
        <w:ind w:left="2880" w:firstLine="720"/>
        <w:rPr>
          <w:rFonts w:cs="David"/>
          <w:sz w:val="26"/>
          <w:szCs w:val="26"/>
          <w:rtl/>
        </w:rPr>
      </w:pPr>
    </w:p>
    <w:p w14:paraId="7F6961AD" w14:textId="77777777" w:rsidR="00E13C27" w:rsidRPr="00F67051" w:rsidRDefault="00A443CF" w:rsidP="0021633A">
      <w:pPr>
        <w:pStyle w:val="HeadHatzaotHok"/>
        <w:rPr>
          <w:rtl/>
        </w:rPr>
      </w:pPr>
      <w:bookmarkStart w:id="8" w:name="LGS_Subject"/>
      <w:r>
        <w:rPr>
          <w:rFonts w:hint="cs"/>
          <w:rtl/>
        </w:rPr>
        <w:t>הצעת חוק למניעת הטרדה מינית (תיקון - הטרדת קטין), התשע"ה-2015</w:t>
      </w:r>
      <w:bookmarkEnd w:id="8"/>
    </w:p>
    <w:p w14:paraId="7F6961AE" w14:textId="77777777"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2F1D80" w14:paraId="035EEF3D" w14:textId="77777777" w:rsidTr="002C3041">
        <w:trPr>
          <w:cantSplit/>
          <w:trHeight w:val="60"/>
        </w:trPr>
        <w:tc>
          <w:tcPr>
            <w:tcW w:w="1871" w:type="dxa"/>
          </w:tcPr>
          <w:p w14:paraId="3863FF98" w14:textId="0E31B83E" w:rsidR="002F1D80" w:rsidRDefault="007D5335" w:rsidP="002C3041">
            <w:pPr>
              <w:pStyle w:val="TableSideHeading"/>
              <w:keepLines w:val="0"/>
            </w:pPr>
            <w:r>
              <w:rPr>
                <w:rFonts w:hint="cs"/>
                <w:rtl/>
              </w:rPr>
              <w:t>תיקון סעיף 5</w:t>
            </w:r>
          </w:p>
        </w:tc>
        <w:tc>
          <w:tcPr>
            <w:tcW w:w="624" w:type="dxa"/>
          </w:tcPr>
          <w:p w14:paraId="6F513EF6" w14:textId="3A73B5BB" w:rsidR="002F1D80" w:rsidRDefault="007D5335" w:rsidP="002C3041">
            <w:pPr>
              <w:pStyle w:val="TableText"/>
              <w:keepLines w:val="0"/>
            </w:pPr>
            <w:r>
              <w:rPr>
                <w:rFonts w:hint="cs"/>
                <w:rtl/>
              </w:rPr>
              <w:t>1.</w:t>
            </w:r>
          </w:p>
        </w:tc>
        <w:tc>
          <w:tcPr>
            <w:tcW w:w="7146" w:type="dxa"/>
          </w:tcPr>
          <w:p w14:paraId="1AE94DEB" w14:textId="37E08718" w:rsidR="002F1D80" w:rsidRPr="007D5335" w:rsidRDefault="007D5335" w:rsidP="007D5335">
            <w:pPr>
              <w:pStyle w:val="TableHead"/>
              <w:keepLines w:val="0"/>
              <w:jc w:val="left"/>
              <w:rPr>
                <w:b w:val="0"/>
                <w:bCs w:val="0"/>
              </w:rPr>
            </w:pPr>
            <w:r w:rsidRPr="007D5335">
              <w:rPr>
                <w:b w:val="0"/>
                <w:bCs w:val="0"/>
                <w:rtl/>
              </w:rPr>
              <w:t xml:space="preserve">בחוק למניעת הטרדה מינית, </w:t>
            </w:r>
            <w:proofErr w:type="spellStart"/>
            <w:r w:rsidRPr="007D5335">
              <w:rPr>
                <w:b w:val="0"/>
                <w:bCs w:val="0"/>
                <w:rtl/>
              </w:rPr>
              <w:t>התשנ"ח</w:t>
            </w:r>
            <w:proofErr w:type="spellEnd"/>
            <w:r w:rsidRPr="007D5335">
              <w:rPr>
                <w:b w:val="0"/>
                <w:bCs w:val="0"/>
                <w:rtl/>
              </w:rPr>
              <w:t>–1998</w:t>
            </w:r>
            <w:r w:rsidRPr="007D5335">
              <w:rPr>
                <w:rStyle w:val="a7"/>
                <w:b w:val="0"/>
                <w:bCs w:val="0"/>
                <w:rtl/>
              </w:rPr>
              <w:footnoteReference w:id="2"/>
            </w:r>
            <w:r w:rsidRPr="007D5335">
              <w:rPr>
                <w:rFonts w:hint="cs"/>
                <w:b w:val="0"/>
                <w:bCs w:val="0"/>
                <w:rtl/>
              </w:rPr>
              <w:t xml:space="preserve">, </w:t>
            </w:r>
            <w:r w:rsidRPr="007D5335">
              <w:rPr>
                <w:b w:val="0"/>
                <w:bCs w:val="0"/>
                <w:rtl/>
              </w:rPr>
              <w:t xml:space="preserve"> בסעיף </w:t>
            </w:r>
            <w:r w:rsidRPr="007D5335">
              <w:rPr>
                <w:rFonts w:hint="cs"/>
                <w:b w:val="0"/>
                <w:bCs w:val="0"/>
                <w:rtl/>
              </w:rPr>
              <w:t>5, אחרי סעיף קטן 5(ה) יבוא</w:t>
            </w:r>
            <w:r w:rsidRPr="007D5335">
              <w:rPr>
                <w:b w:val="0"/>
                <w:bCs w:val="0"/>
                <w:rtl/>
              </w:rPr>
              <w:t xml:space="preserve"> –</w:t>
            </w:r>
          </w:p>
        </w:tc>
      </w:tr>
      <w:tr w:rsidR="007D5335" w14:paraId="3D9B61D1" w14:textId="77777777" w:rsidTr="002C3041">
        <w:trPr>
          <w:cantSplit/>
          <w:trHeight w:val="60"/>
        </w:trPr>
        <w:tc>
          <w:tcPr>
            <w:tcW w:w="1871" w:type="dxa"/>
          </w:tcPr>
          <w:p w14:paraId="6C0CB9D8" w14:textId="77777777" w:rsidR="007D5335" w:rsidRDefault="007D5335" w:rsidP="002C3041">
            <w:pPr>
              <w:pStyle w:val="TableSideHeading"/>
              <w:keepLines w:val="0"/>
            </w:pPr>
          </w:p>
        </w:tc>
        <w:tc>
          <w:tcPr>
            <w:tcW w:w="624" w:type="dxa"/>
          </w:tcPr>
          <w:p w14:paraId="3F4286A2" w14:textId="77777777" w:rsidR="007D5335" w:rsidRDefault="007D5335" w:rsidP="002C3041">
            <w:pPr>
              <w:pStyle w:val="TableText"/>
              <w:keepLines w:val="0"/>
            </w:pPr>
          </w:p>
        </w:tc>
        <w:tc>
          <w:tcPr>
            <w:tcW w:w="7146" w:type="dxa"/>
          </w:tcPr>
          <w:p w14:paraId="7633D5BB" w14:textId="29FE515E" w:rsidR="007D5335" w:rsidRPr="00C34DE2" w:rsidRDefault="007D5335" w:rsidP="002C3041">
            <w:pPr>
              <w:pStyle w:val="TableBlock"/>
              <w:keepLines w:val="0"/>
            </w:pPr>
            <w:r>
              <w:rPr>
                <w:rFonts w:hint="cs"/>
                <w:rtl/>
              </w:rPr>
              <w:t>"(ו)</w:t>
            </w:r>
            <w:r>
              <w:rPr>
                <w:rtl/>
              </w:rPr>
              <w:tab/>
            </w:r>
            <w:r>
              <w:rPr>
                <w:rFonts w:hint="cs"/>
                <w:rtl/>
              </w:rPr>
              <w:t xml:space="preserve">העובר </w:t>
            </w:r>
            <w:r w:rsidRPr="00AA6D27">
              <w:rPr>
                <w:rFonts w:hint="cs"/>
                <w:sz w:val="26"/>
                <w:rtl/>
              </w:rPr>
              <w:t>עבירה לפי חוק זה באדם שהוא קטין, דינו</w:t>
            </w:r>
            <w:r>
              <w:rPr>
                <w:rFonts w:hint="cs"/>
                <w:sz w:val="26"/>
                <w:rtl/>
              </w:rPr>
              <w:t xml:space="preserve"> </w:t>
            </w:r>
            <w:r>
              <w:rPr>
                <w:sz w:val="26"/>
                <w:rtl/>
              </w:rPr>
              <w:t>–</w:t>
            </w:r>
            <w:r>
              <w:rPr>
                <w:rFonts w:hint="cs"/>
                <w:sz w:val="26"/>
                <w:rtl/>
              </w:rPr>
              <w:t xml:space="preserve"> </w:t>
            </w:r>
          </w:p>
        </w:tc>
      </w:tr>
      <w:tr w:rsidR="007D5335" w14:paraId="79A2502C" w14:textId="77777777" w:rsidTr="002C3041">
        <w:trPr>
          <w:cantSplit/>
          <w:trHeight w:val="60"/>
        </w:trPr>
        <w:tc>
          <w:tcPr>
            <w:tcW w:w="1871" w:type="dxa"/>
          </w:tcPr>
          <w:p w14:paraId="1A667538" w14:textId="0D6F490F" w:rsidR="007D5335" w:rsidRDefault="007D5335" w:rsidP="002C3041">
            <w:pPr>
              <w:pStyle w:val="TableSideHeading"/>
              <w:keepLines w:val="0"/>
            </w:pPr>
          </w:p>
        </w:tc>
        <w:tc>
          <w:tcPr>
            <w:tcW w:w="624" w:type="dxa"/>
          </w:tcPr>
          <w:p w14:paraId="67ABB3F1" w14:textId="77777777" w:rsidR="007D5335" w:rsidRDefault="007D5335" w:rsidP="002C3041">
            <w:pPr>
              <w:pStyle w:val="TableText"/>
              <w:keepLines w:val="0"/>
            </w:pPr>
          </w:p>
        </w:tc>
        <w:tc>
          <w:tcPr>
            <w:tcW w:w="7146" w:type="dxa"/>
          </w:tcPr>
          <w:p w14:paraId="41231325" w14:textId="41AC636E" w:rsidR="007D5335" w:rsidRPr="00C34DE2" w:rsidRDefault="007D5335" w:rsidP="002C3041">
            <w:pPr>
              <w:pStyle w:val="TableBlock"/>
              <w:keepLines w:val="0"/>
            </w:pPr>
            <w:r w:rsidRPr="00121EF5">
              <w:rPr>
                <w:rFonts w:hint="cs"/>
                <w:rtl/>
              </w:rPr>
              <w:t>(1</w:t>
            </w:r>
            <w:r>
              <w:rPr>
                <w:rFonts w:hint="cs"/>
                <w:sz w:val="26"/>
                <w:rtl/>
              </w:rPr>
              <w:t>)</w:t>
            </w:r>
            <w:r>
              <w:rPr>
                <w:rFonts w:hint="cs"/>
                <w:sz w:val="26"/>
                <w:rtl/>
              </w:rPr>
              <w:tab/>
              <w:t>בעבירה לפי סעיף 3(6)(א)- מאסר שלוש שנים;</w:t>
            </w:r>
          </w:p>
        </w:tc>
      </w:tr>
      <w:tr w:rsidR="007D5335" w14:paraId="78D8FECC" w14:textId="77777777" w:rsidTr="002C3041">
        <w:trPr>
          <w:cantSplit/>
          <w:trHeight w:val="60"/>
        </w:trPr>
        <w:tc>
          <w:tcPr>
            <w:tcW w:w="1871" w:type="dxa"/>
          </w:tcPr>
          <w:p w14:paraId="6C48E32E" w14:textId="2DD78F97" w:rsidR="007D5335" w:rsidRDefault="007D5335" w:rsidP="002C3041">
            <w:pPr>
              <w:pStyle w:val="TableSideHeading"/>
              <w:keepLines w:val="0"/>
            </w:pPr>
          </w:p>
        </w:tc>
        <w:tc>
          <w:tcPr>
            <w:tcW w:w="624" w:type="dxa"/>
          </w:tcPr>
          <w:p w14:paraId="43403F97" w14:textId="77777777" w:rsidR="007D5335" w:rsidRDefault="007D5335" w:rsidP="002C3041">
            <w:pPr>
              <w:pStyle w:val="TableText"/>
              <w:keepLines w:val="0"/>
            </w:pPr>
          </w:p>
        </w:tc>
        <w:tc>
          <w:tcPr>
            <w:tcW w:w="7146" w:type="dxa"/>
          </w:tcPr>
          <w:p w14:paraId="12D462A5" w14:textId="2010569D" w:rsidR="007D5335" w:rsidRPr="00C34DE2" w:rsidRDefault="007D5335" w:rsidP="002C3041">
            <w:pPr>
              <w:pStyle w:val="TableBlock"/>
              <w:keepLines w:val="0"/>
            </w:pPr>
            <w:r>
              <w:rPr>
                <w:rFonts w:hint="cs"/>
                <w:rtl/>
              </w:rPr>
              <w:t>(2)</w:t>
            </w:r>
            <w:r>
              <w:rPr>
                <w:rtl/>
              </w:rPr>
              <w:tab/>
            </w:r>
            <w:r>
              <w:rPr>
                <w:rFonts w:hint="cs"/>
                <w:rtl/>
              </w:rPr>
              <w:t xml:space="preserve">בעבירה </w:t>
            </w:r>
            <w:r>
              <w:rPr>
                <w:rFonts w:hint="cs"/>
                <w:sz w:val="26"/>
                <w:rtl/>
              </w:rPr>
              <w:t>לפי סעיף 3(ב)- מאסר ארבע שנים;</w:t>
            </w:r>
          </w:p>
        </w:tc>
      </w:tr>
      <w:tr w:rsidR="007D5335" w14:paraId="70AA4E2C" w14:textId="77777777" w:rsidTr="002C3041">
        <w:trPr>
          <w:cantSplit/>
          <w:trHeight w:val="60"/>
        </w:trPr>
        <w:tc>
          <w:tcPr>
            <w:tcW w:w="1871" w:type="dxa"/>
          </w:tcPr>
          <w:p w14:paraId="29F1374E" w14:textId="7B58FDDF" w:rsidR="007D5335" w:rsidRDefault="007D5335" w:rsidP="002C3041">
            <w:pPr>
              <w:pStyle w:val="TableText"/>
              <w:keepLines w:val="0"/>
            </w:pPr>
          </w:p>
        </w:tc>
        <w:tc>
          <w:tcPr>
            <w:tcW w:w="624" w:type="dxa"/>
          </w:tcPr>
          <w:p w14:paraId="25E362EF" w14:textId="77777777" w:rsidR="007D5335" w:rsidRDefault="007D5335" w:rsidP="002C3041">
            <w:pPr>
              <w:pStyle w:val="TableText"/>
              <w:keepLines w:val="0"/>
            </w:pPr>
          </w:p>
        </w:tc>
        <w:tc>
          <w:tcPr>
            <w:tcW w:w="7146" w:type="dxa"/>
          </w:tcPr>
          <w:p w14:paraId="1F573C20" w14:textId="58FCF53D" w:rsidR="007D5335" w:rsidRPr="00C34DE2" w:rsidRDefault="007D5335" w:rsidP="002C3041">
            <w:pPr>
              <w:pStyle w:val="TableBlock"/>
              <w:keepLines w:val="0"/>
            </w:pPr>
            <w:r>
              <w:rPr>
                <w:rFonts w:hint="cs"/>
                <w:rtl/>
              </w:rPr>
              <w:t xml:space="preserve">(3) </w:t>
            </w:r>
            <w:r>
              <w:rPr>
                <w:rtl/>
              </w:rPr>
              <w:tab/>
            </w:r>
            <w:r>
              <w:rPr>
                <w:rFonts w:hint="cs"/>
                <w:rtl/>
              </w:rPr>
              <w:t xml:space="preserve">בעבירה </w:t>
            </w:r>
            <w:r>
              <w:rPr>
                <w:rFonts w:hint="cs"/>
                <w:sz w:val="26"/>
                <w:rtl/>
              </w:rPr>
              <w:t>לפי סעיף 5(ג)-  מאסר חמש שנים."</w:t>
            </w:r>
          </w:p>
        </w:tc>
      </w:tr>
    </w:tbl>
    <w:p w14:paraId="7F6961CA" w14:textId="77777777" w:rsidR="002D1EE3" w:rsidRDefault="002D1EE3" w:rsidP="002D1EE3">
      <w:pPr>
        <w:pStyle w:val="HeadDivreiHesber"/>
        <w:rPr>
          <w:rtl/>
        </w:rPr>
      </w:pPr>
      <w:r w:rsidRPr="0027450A">
        <w:rPr>
          <w:rFonts w:hint="cs"/>
          <w:rtl/>
        </w:rPr>
        <w:t>דברי הסבר</w:t>
      </w:r>
    </w:p>
    <w:p w14:paraId="7CD42465" w14:textId="77777777" w:rsidR="007D5335" w:rsidRDefault="007D5335" w:rsidP="007D5335">
      <w:pPr>
        <w:pStyle w:val="Hesber"/>
        <w:ind w:firstLine="0"/>
        <w:rPr>
          <w:sz w:val="26"/>
          <w:rtl/>
        </w:rPr>
      </w:pPr>
      <w:r w:rsidRPr="00E8619A">
        <w:rPr>
          <w:rtl/>
        </w:rPr>
        <w:t>ה</w:t>
      </w:r>
      <w:r w:rsidRPr="00E8619A">
        <w:rPr>
          <w:sz w:val="26"/>
          <w:rtl/>
        </w:rPr>
        <w:t xml:space="preserve">צעת </w:t>
      </w:r>
      <w:r w:rsidRPr="00E8619A">
        <w:rPr>
          <w:rFonts w:hint="cs"/>
          <w:sz w:val="26"/>
          <w:rtl/>
        </w:rPr>
        <w:t>ה</w:t>
      </w:r>
      <w:r w:rsidRPr="00E8619A">
        <w:rPr>
          <w:sz w:val="26"/>
          <w:rtl/>
        </w:rPr>
        <w:t xml:space="preserve">חוק נועדה לתקן </w:t>
      </w:r>
      <w:r w:rsidRPr="00E8619A">
        <w:rPr>
          <w:rFonts w:hint="cs"/>
          <w:sz w:val="26"/>
          <w:rtl/>
        </w:rPr>
        <w:t xml:space="preserve">את המצב הקיים </w:t>
      </w:r>
      <w:r>
        <w:rPr>
          <w:rFonts w:hint="cs"/>
          <w:sz w:val="26"/>
          <w:rtl/>
        </w:rPr>
        <w:t xml:space="preserve">כיום </w:t>
      </w:r>
      <w:r w:rsidRPr="00E8619A">
        <w:rPr>
          <w:rFonts w:hint="cs"/>
          <w:sz w:val="26"/>
          <w:rtl/>
        </w:rPr>
        <w:t xml:space="preserve">בחוק למניעת הטרדה מינית בו </w:t>
      </w:r>
      <w:r>
        <w:rPr>
          <w:rFonts w:hint="cs"/>
          <w:sz w:val="26"/>
          <w:rtl/>
        </w:rPr>
        <w:t xml:space="preserve">הענישה על </w:t>
      </w:r>
      <w:r w:rsidRPr="00E8619A">
        <w:rPr>
          <w:rFonts w:hint="cs"/>
          <w:sz w:val="26"/>
          <w:rtl/>
        </w:rPr>
        <w:t xml:space="preserve">העבירה של הטרדה מינית </w:t>
      </w:r>
      <w:r w:rsidRPr="00724499">
        <w:rPr>
          <w:rFonts w:hint="cs"/>
          <w:sz w:val="26"/>
          <w:rtl/>
        </w:rPr>
        <w:t>של קטין</w:t>
      </w:r>
      <w:r>
        <w:rPr>
          <w:rFonts w:hint="cs"/>
          <w:sz w:val="26"/>
          <w:rtl/>
        </w:rPr>
        <w:t>,</w:t>
      </w:r>
      <w:r w:rsidRPr="00724499">
        <w:rPr>
          <w:rFonts w:hint="cs"/>
          <w:sz w:val="26"/>
          <w:rtl/>
        </w:rPr>
        <w:t xml:space="preserve"> הקבועה</w:t>
      </w:r>
      <w:r w:rsidRPr="00E8619A">
        <w:rPr>
          <w:rFonts w:hint="cs"/>
          <w:sz w:val="26"/>
          <w:rtl/>
        </w:rPr>
        <w:t xml:space="preserve"> בסעיף 3(6)(א) לחוק</w:t>
      </w:r>
      <w:r>
        <w:rPr>
          <w:rFonts w:hint="cs"/>
          <w:sz w:val="26"/>
          <w:rtl/>
        </w:rPr>
        <w:t>, זהה לענישה על הטרדה מינית בכלל.</w:t>
      </w:r>
      <w:r w:rsidRPr="00E8619A">
        <w:rPr>
          <w:rFonts w:hint="cs"/>
          <w:sz w:val="26"/>
          <w:rtl/>
        </w:rPr>
        <w:t xml:space="preserve"> זאת באופן חריג לגיש</w:t>
      </w:r>
      <w:r>
        <w:rPr>
          <w:rFonts w:hint="cs"/>
          <w:sz w:val="26"/>
          <w:rtl/>
        </w:rPr>
        <w:t>ה הכללית של</w:t>
      </w:r>
      <w:r w:rsidRPr="00E8619A">
        <w:rPr>
          <w:rFonts w:hint="cs"/>
          <w:sz w:val="26"/>
          <w:rtl/>
        </w:rPr>
        <w:t xml:space="preserve"> המחוקק </w:t>
      </w:r>
      <w:r w:rsidRPr="00E8619A">
        <w:rPr>
          <w:rFonts w:ascii="David" w:hAnsi="David"/>
          <w:color w:val="auto"/>
          <w:sz w:val="26"/>
          <w:rtl/>
        </w:rPr>
        <w:t>ב</w:t>
      </w:r>
      <w:hyperlink r:id="rId12" w:history="1">
        <w:r w:rsidRPr="00E8619A">
          <w:rPr>
            <w:rFonts w:ascii="David" w:hAnsi="David"/>
            <w:color w:val="auto"/>
            <w:sz w:val="26"/>
            <w:rtl/>
          </w:rPr>
          <w:t>חוק העונשין</w:t>
        </w:r>
      </w:hyperlink>
      <w:r w:rsidRPr="00E8619A">
        <w:rPr>
          <w:rFonts w:ascii="David" w:hAnsi="David"/>
          <w:color w:val="auto"/>
          <w:sz w:val="26"/>
          <w:rtl/>
        </w:rPr>
        <w:t>,</w:t>
      </w:r>
      <w:r w:rsidRPr="00E8619A">
        <w:rPr>
          <w:rFonts w:hint="cs"/>
          <w:sz w:val="26"/>
          <w:rtl/>
        </w:rPr>
        <w:t xml:space="preserve"> המתבטאת בענישה מחמירה במיוחד כשהנפגע הוא קטין. </w:t>
      </w:r>
    </w:p>
    <w:p w14:paraId="718540DB" w14:textId="77777777" w:rsidR="007D5335" w:rsidRPr="00E8619A" w:rsidRDefault="007D5335" w:rsidP="007D5335">
      <w:pPr>
        <w:pStyle w:val="Hesber"/>
        <w:rPr>
          <w:sz w:val="26"/>
          <w:rtl/>
        </w:rPr>
      </w:pPr>
      <w:r>
        <w:rPr>
          <w:rFonts w:hint="cs"/>
          <w:sz w:val="26"/>
          <w:rtl/>
        </w:rPr>
        <w:t xml:space="preserve">לעניין זה, יפים דבריו של השופט עידו </w:t>
      </w:r>
      <w:proofErr w:type="spellStart"/>
      <w:r>
        <w:rPr>
          <w:rFonts w:hint="cs"/>
          <w:sz w:val="26"/>
          <w:rtl/>
        </w:rPr>
        <w:t>דרויאן</w:t>
      </w:r>
      <w:proofErr w:type="spellEnd"/>
      <w:r>
        <w:rPr>
          <w:rFonts w:hint="cs"/>
          <w:sz w:val="26"/>
          <w:rtl/>
        </w:rPr>
        <w:t xml:space="preserve"> "</w:t>
      </w:r>
      <w:r w:rsidRPr="006F6F6A">
        <w:rPr>
          <w:sz w:val="26"/>
          <w:rtl/>
        </w:rPr>
        <w:t xml:space="preserve">העבירה של הטרדה מינית של קטין מתחת לגיל 15 </w:t>
      </w:r>
      <w:r w:rsidRPr="006F6F6A">
        <w:rPr>
          <w:sz w:val="26"/>
          <w:rtl/>
        </w:rPr>
        <w:lastRenderedPageBreak/>
        <w:t>הקבועה בחוק אינה מתייחדת בענישה מחמירה ביחס לעבירה הכללית של הטרדה מינית (שאיננה סחיטה מינית או מעשה מגונה), באופן חריג לגישת המחוקק בחוק העונשין, המתבטאת בענישה מחמירה במיוחד כשהנפגע הוא קטין</w:t>
      </w:r>
      <w:r>
        <w:rPr>
          <w:rFonts w:hint="cs"/>
          <w:sz w:val="26"/>
          <w:rtl/>
        </w:rPr>
        <w:t xml:space="preserve">... </w:t>
      </w:r>
      <w:r w:rsidRPr="006F6F6A">
        <w:rPr>
          <w:sz w:val="26"/>
          <w:rtl/>
        </w:rPr>
        <w:t>פגיעותם היתירה של הילדים נובעת מחולשתם הברורה, מכל היבט שהוא, אל-מול מבוגר נחוש, מתמימותם ומחוסר יכולתם הנפשית והחברתית להבין את משמעותם המלאה של הת</w:t>
      </w:r>
      <w:r>
        <w:rPr>
          <w:sz w:val="26"/>
          <w:rtl/>
        </w:rPr>
        <w:t>ייחסויות מיניות ולהתגונן מפניה</w:t>
      </w:r>
      <w:r>
        <w:rPr>
          <w:rFonts w:hint="cs"/>
          <w:sz w:val="26"/>
          <w:rtl/>
        </w:rPr>
        <w:t>ן" (</w:t>
      </w:r>
      <w:proofErr w:type="spellStart"/>
      <w:r w:rsidRPr="006F6F6A">
        <w:rPr>
          <w:sz w:val="26"/>
          <w:rtl/>
        </w:rPr>
        <w:t>ת</w:t>
      </w:r>
      <w:r>
        <w:rPr>
          <w:sz w:val="26"/>
          <w:rtl/>
        </w:rPr>
        <w:t>פ</w:t>
      </w:r>
      <w:proofErr w:type="spellEnd"/>
      <w:r>
        <w:rPr>
          <w:sz w:val="26"/>
          <w:rtl/>
        </w:rPr>
        <w:t xml:space="preserve"> (ת"א) 6325-05-12</w:t>
      </w:r>
      <w:r>
        <w:rPr>
          <w:rFonts w:hint="cs"/>
          <w:sz w:val="26"/>
          <w:rtl/>
        </w:rPr>
        <w:t xml:space="preserve"> </w:t>
      </w:r>
      <w:r w:rsidRPr="006F6F6A">
        <w:rPr>
          <w:b/>
          <w:bCs/>
          <w:sz w:val="26"/>
          <w:rtl/>
        </w:rPr>
        <w:t xml:space="preserve">מדינת ישראל נ' זאב </w:t>
      </w:r>
      <w:proofErr w:type="spellStart"/>
      <w:r w:rsidRPr="006F6F6A">
        <w:rPr>
          <w:b/>
          <w:bCs/>
          <w:sz w:val="26"/>
          <w:rtl/>
        </w:rPr>
        <w:t>בוידק</w:t>
      </w:r>
      <w:proofErr w:type="spellEnd"/>
      <w:r>
        <w:rPr>
          <w:rFonts w:hint="cs"/>
          <w:sz w:val="26"/>
          <w:rtl/>
        </w:rPr>
        <w:t>)</w:t>
      </w:r>
    </w:p>
    <w:p w14:paraId="20160FAA" w14:textId="77777777" w:rsidR="007D5335" w:rsidRPr="00121EF5" w:rsidRDefault="007D5335" w:rsidP="007D5335">
      <w:pPr>
        <w:pStyle w:val="Hesber"/>
        <w:rPr>
          <w:sz w:val="26"/>
          <w:rtl/>
        </w:rPr>
      </w:pPr>
      <w:r>
        <w:rPr>
          <w:rtl/>
        </w:rPr>
        <w:t xml:space="preserve">לפיכך מוצע לתקן את הוראות </w:t>
      </w:r>
      <w:r w:rsidRPr="004D7A4C">
        <w:rPr>
          <w:rtl/>
        </w:rPr>
        <w:t xml:space="preserve">סעיף </w:t>
      </w:r>
      <w:r>
        <w:rPr>
          <w:rFonts w:hint="cs"/>
          <w:rtl/>
        </w:rPr>
        <w:t>5 לחוק</w:t>
      </w:r>
      <w:r w:rsidRPr="004D7A4C">
        <w:rPr>
          <w:rtl/>
        </w:rPr>
        <w:t xml:space="preserve"> ולקבוע כי </w:t>
      </w:r>
      <w:r>
        <w:rPr>
          <w:rFonts w:hint="cs"/>
          <w:rtl/>
        </w:rPr>
        <w:t xml:space="preserve">הענישה בעבירות לפי חוק זה, תהא מחמירה יותר כאשר מדובר בפגיעה בקטינים, בהתאמה לענישה המקורית. </w:t>
      </w:r>
      <w:r>
        <w:rPr>
          <w:rFonts w:hint="cs"/>
          <w:sz w:val="26"/>
          <w:rtl/>
        </w:rPr>
        <w:t xml:space="preserve">הצעת חוק זו מתיישבת עם ההגנה המוגברת על קטינים שעומדת בבסיס הסדרי הענישה בחוק העונשין. </w:t>
      </w:r>
    </w:p>
    <w:p w14:paraId="0963BB36" w14:textId="77777777" w:rsidR="007D5335" w:rsidRPr="00121EF5" w:rsidRDefault="007D5335" w:rsidP="007D5335">
      <w:pPr>
        <w:pStyle w:val="Hesber"/>
        <w:rPr>
          <w:rFonts w:ascii="David" w:hAnsi="David"/>
          <w:sz w:val="26"/>
          <w:rtl/>
        </w:rPr>
      </w:pPr>
      <w:r w:rsidRPr="0045643D">
        <w:rPr>
          <w:rFonts w:hint="cs"/>
          <w:rtl/>
        </w:rPr>
        <w:t xml:space="preserve">הצעת חוק זו </w:t>
      </w:r>
      <w:r>
        <w:rPr>
          <w:rFonts w:hint="cs"/>
          <w:rtl/>
        </w:rPr>
        <w:t>נוסחה ביוזמת המועצה לשלום הילד.</w:t>
      </w:r>
    </w:p>
    <w:p w14:paraId="7F6961CB" w14:textId="77777777" w:rsidR="00E13C27" w:rsidRDefault="00E13C27" w:rsidP="00E13C27">
      <w:pPr>
        <w:pStyle w:val="Hesber"/>
        <w:rPr>
          <w:rtl/>
        </w:rPr>
      </w:pPr>
    </w:p>
    <w:sectPr w:rsidR="00E13C27" w:rsidSect="001207F8">
      <w:footerReference w:type="even" r:id="rId13"/>
      <w:footerReference w:type="default" r:id="rId14"/>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5" w14:textId="77777777" w:rsidR="002C3041" w:rsidRDefault="002C3041" w:rsidP="001207F8">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14:paraId="7F6961D6" w14:textId="77777777" w:rsidR="002C3041" w:rsidRDefault="002C30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61D7" w14:textId="77777777" w:rsidR="002C3041" w:rsidRDefault="002C3041" w:rsidP="001207F8">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766484">
      <w:rPr>
        <w:rStyle w:val="ac"/>
        <w:noProof/>
        <w:rtl/>
      </w:rPr>
      <w:t>2</w:t>
    </w:r>
    <w:r>
      <w:rPr>
        <w:rStyle w:val="ac"/>
        <w:rtl/>
      </w:rPr>
      <w:fldChar w:fldCharType="end"/>
    </w:r>
  </w:p>
  <w:p w14:paraId="7F6961D8" w14:textId="77777777" w:rsidR="002C3041" w:rsidRDefault="002C30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3BAB674E" w14:textId="77777777" w:rsidR="007D5335" w:rsidRDefault="007D5335" w:rsidP="007D5335">
      <w:pPr>
        <w:pStyle w:val="a5"/>
      </w:pPr>
      <w:r>
        <w:rPr>
          <w:rStyle w:val="a7"/>
        </w:rPr>
        <w:footnoteRef/>
      </w:r>
      <w:r>
        <w:rPr>
          <w:rtl/>
        </w:rPr>
        <w:t xml:space="preserve"> ס"ח </w:t>
      </w:r>
      <w:proofErr w:type="spellStart"/>
      <w:r>
        <w:rPr>
          <w:rtl/>
        </w:rPr>
        <w:t>התשנ"ח</w:t>
      </w:r>
      <w:proofErr w:type="spellEnd"/>
      <w:r>
        <w:rPr>
          <w:rtl/>
        </w:rPr>
        <w:t>, עמ' 166.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66484"/>
    <w:rsid w:val="0078664F"/>
    <w:rsid w:val="007C3FA6"/>
    <w:rsid w:val="007D5335"/>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7774"/>
    <w:rsid w:val="00D63620"/>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link w:val="a4"/>
    <w:uiPriority w:val="99"/>
    <w:semiHidden/>
    <w:rsid w:val="00B975AD"/>
    <w:pPr>
      <w:ind w:left="227" w:hanging="227"/>
    </w:pPr>
    <w:rPr>
      <w:sz w:val="14"/>
      <w:szCs w:val="22"/>
    </w:rPr>
  </w:style>
  <w:style w:type="paragraph" w:customStyle="1" w:styleId="TableText">
    <w:name w:val="Table Text"/>
    <w:basedOn w:val="a"/>
    <w:uiPriority w:val="99"/>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uiPriority w:val="99"/>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uiPriority w:val="99"/>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7">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8">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9">
    <w:name w:val="header"/>
    <w:basedOn w:val="a"/>
    <w:rsid w:val="00B975AD"/>
    <w:pPr>
      <w:tabs>
        <w:tab w:val="center" w:pos="4153"/>
        <w:tab w:val="right" w:pos="8306"/>
      </w:tabs>
    </w:pPr>
  </w:style>
  <w:style w:type="paragraph" w:styleId="aa">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b">
    <w:name w:val="Title"/>
    <w:basedOn w:val="a"/>
    <w:qFormat/>
    <w:rsid w:val="00943386"/>
    <w:pPr>
      <w:jc w:val="center"/>
    </w:pPr>
    <w:rPr>
      <w:rFonts w:cs="David"/>
      <w:b/>
      <w:bCs/>
      <w:sz w:val="28"/>
      <w:szCs w:val="28"/>
      <w:u w:val="single"/>
    </w:rPr>
  </w:style>
  <w:style w:type="character" w:styleId="ac">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d">
    <w:name w:val="Balloon Text"/>
    <w:basedOn w:val="a"/>
    <w:link w:val="ae"/>
    <w:semiHidden/>
    <w:unhideWhenUsed/>
    <w:rsid w:val="00325C14"/>
    <w:pPr>
      <w:spacing w:before="0" w:line="240" w:lineRule="auto"/>
    </w:pPr>
    <w:rPr>
      <w:rFonts w:ascii="Tahoma" w:hAnsi="Tahoma" w:cs="Tahoma"/>
      <w:sz w:val="16"/>
      <w:szCs w:val="16"/>
    </w:rPr>
  </w:style>
  <w:style w:type="character" w:customStyle="1" w:styleId="ae">
    <w:name w:val="טקסט בלונים תו"/>
    <w:basedOn w:val="a0"/>
    <w:link w:val="ad"/>
    <w:semiHidden/>
    <w:rsid w:val="00325C14"/>
    <w:rPr>
      <w:rFonts w:ascii="Tahoma" w:hAnsi="Tahoma" w:cs="Tahoma"/>
      <w:color w:val="000000"/>
      <w:spacing w:val="1"/>
      <w:sz w:val="16"/>
      <w:szCs w:val="16"/>
      <w:lang w:eastAsia="ja-JP"/>
    </w:rPr>
  </w:style>
  <w:style w:type="character" w:customStyle="1" w:styleId="a6">
    <w:name w:val="טקסט הערת שוליים תו"/>
    <w:basedOn w:val="a0"/>
    <w:link w:val="a5"/>
    <w:uiPriority w:val="99"/>
    <w:locked/>
    <w:rsid w:val="007D5335"/>
    <w:rPr>
      <w:rFonts w:ascii="Arial" w:eastAsia="Arial Unicode MS" w:hAnsi="Arial" w:cs="David"/>
      <w:snapToGrid w:val="0"/>
      <w:color w:val="000000"/>
      <w:sz w:val="14"/>
      <w:lang w:eastAsia="ja-JP"/>
    </w:rPr>
  </w:style>
  <w:style w:type="character" w:customStyle="1" w:styleId="a4">
    <w:name w:val="טקסט הערת סיום תו"/>
    <w:basedOn w:val="a0"/>
    <w:link w:val="a3"/>
    <w:uiPriority w:val="99"/>
    <w:semiHidden/>
    <w:locked/>
    <w:rsid w:val="007D5335"/>
    <w:rPr>
      <w:rFonts w:ascii="Hadasa Roso SL" w:hAnsi="Hadasa Roso SL" w:cs="Hadasa Roso SL"/>
      <w:color w:val="000000"/>
      <w:spacing w:val="1"/>
      <w:sz w:val="14"/>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link w:val="a4"/>
    <w:uiPriority w:val="99"/>
    <w:semiHidden/>
    <w:rsid w:val="00B975AD"/>
    <w:pPr>
      <w:ind w:left="227" w:hanging="227"/>
    </w:pPr>
    <w:rPr>
      <w:sz w:val="14"/>
      <w:szCs w:val="22"/>
    </w:rPr>
  </w:style>
  <w:style w:type="paragraph" w:customStyle="1" w:styleId="TableText">
    <w:name w:val="Table Text"/>
    <w:basedOn w:val="a"/>
    <w:uiPriority w:val="99"/>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uiPriority w:val="99"/>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uiPriority w:val="99"/>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7">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8">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9">
    <w:name w:val="header"/>
    <w:basedOn w:val="a"/>
    <w:rsid w:val="00B975AD"/>
    <w:pPr>
      <w:tabs>
        <w:tab w:val="center" w:pos="4153"/>
        <w:tab w:val="right" w:pos="8306"/>
      </w:tabs>
    </w:pPr>
  </w:style>
  <w:style w:type="paragraph" w:styleId="aa">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b">
    <w:name w:val="Title"/>
    <w:basedOn w:val="a"/>
    <w:qFormat/>
    <w:rsid w:val="00943386"/>
    <w:pPr>
      <w:jc w:val="center"/>
    </w:pPr>
    <w:rPr>
      <w:rFonts w:cs="David"/>
      <w:b/>
      <w:bCs/>
      <w:sz w:val="28"/>
      <w:szCs w:val="28"/>
      <w:u w:val="single"/>
    </w:rPr>
  </w:style>
  <w:style w:type="character" w:styleId="ac">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d">
    <w:name w:val="Balloon Text"/>
    <w:basedOn w:val="a"/>
    <w:link w:val="ae"/>
    <w:semiHidden/>
    <w:unhideWhenUsed/>
    <w:rsid w:val="00325C14"/>
    <w:pPr>
      <w:spacing w:before="0" w:line="240" w:lineRule="auto"/>
    </w:pPr>
    <w:rPr>
      <w:rFonts w:ascii="Tahoma" w:hAnsi="Tahoma" w:cs="Tahoma"/>
      <w:sz w:val="16"/>
      <w:szCs w:val="16"/>
    </w:rPr>
  </w:style>
  <w:style w:type="character" w:customStyle="1" w:styleId="ae">
    <w:name w:val="טקסט בלונים תו"/>
    <w:basedOn w:val="a0"/>
    <w:link w:val="ad"/>
    <w:semiHidden/>
    <w:rsid w:val="00325C14"/>
    <w:rPr>
      <w:rFonts w:ascii="Tahoma" w:hAnsi="Tahoma" w:cs="Tahoma"/>
      <w:color w:val="000000"/>
      <w:spacing w:val="1"/>
      <w:sz w:val="16"/>
      <w:szCs w:val="16"/>
      <w:lang w:eastAsia="ja-JP"/>
    </w:rPr>
  </w:style>
  <w:style w:type="character" w:customStyle="1" w:styleId="a6">
    <w:name w:val="טקסט הערת שוליים תו"/>
    <w:basedOn w:val="a0"/>
    <w:link w:val="a5"/>
    <w:uiPriority w:val="99"/>
    <w:locked/>
    <w:rsid w:val="007D5335"/>
    <w:rPr>
      <w:rFonts w:ascii="Arial" w:eastAsia="Arial Unicode MS" w:hAnsi="Arial" w:cs="David"/>
      <w:snapToGrid w:val="0"/>
      <w:color w:val="000000"/>
      <w:sz w:val="14"/>
      <w:lang w:eastAsia="ja-JP"/>
    </w:rPr>
  </w:style>
  <w:style w:type="character" w:customStyle="1" w:styleId="a4">
    <w:name w:val="טקסט הערת סיום תו"/>
    <w:basedOn w:val="a0"/>
    <w:link w:val="a3"/>
    <w:uiPriority w:val="99"/>
    <w:semiHidden/>
    <w:locked/>
    <w:rsid w:val="007D5335"/>
    <w:rPr>
      <w:rFonts w:ascii="Hadasa Roso SL" w:hAnsi="Hadasa Roso SL" w:cs="Hadasa Roso SL"/>
      <w:color w:val="000000"/>
      <w:spacing w:val="1"/>
      <w:sz w:val="14"/>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evo.co.il/law_html/law01/073_00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105E2-03D3-4A83-BD24-FA370494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4626BABA-E830-4D05-95B8-4EDDE19C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1528</Characters>
  <Application>Microsoft Office Word</Application>
  <DocSecurity>4</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הילה שינוק</cp:lastModifiedBy>
  <cp:revision>2</cp:revision>
  <cp:lastPrinted>2015-07-02T11:21:00Z</cp:lastPrinted>
  <dcterms:created xsi:type="dcterms:W3CDTF">2015-07-02T11:22:00Z</dcterms:created>
  <dcterms:modified xsi:type="dcterms:W3CDTF">2015-07-02T11:22:00Z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566185</vt:r8>
  </property>
</Properties>
</file>