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2065890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יוזמת:</w:t>
      </w:r>
      <w:r>
        <w:tab/>
      </w:r>
      <w:r>
        <w:rPr>
          <w:b/>
          <w:bCs/>
          <w:rtl/>
        </w:rPr>
        <w:t xml:space="preserve">      חברת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עליזה לביא</w:t>
      </w:r>
      <w:bookmarkEnd w:id="3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616FD32B" w14:textId="30D19EC7" w:rsidR="00A17A43" w:rsidRPr="00A17A43" w:rsidRDefault="00A17A43" w:rsidP="00A17A43">
      <w:pPr>
        <w:pStyle w:val="HeadHatzaotHok"/>
        <w:ind w:left="4320"/>
        <w:rPr>
          <w:b w:val="0"/>
          <w:bCs w:val="0"/>
          <w:rtl/>
        </w:rPr>
      </w:pPr>
      <w:bookmarkStart w:id="4" w:name="LGS_Subject"/>
      <w:r w:rsidRPr="00A17A43">
        <w:rPr>
          <w:rFonts w:hint="cs"/>
          <w:b w:val="0"/>
          <w:bCs w:val="0"/>
          <w:rtl/>
        </w:rPr>
        <w:t>פ/5280/20</w:t>
      </w:r>
      <w:bookmarkStart w:id="5" w:name="_GoBack"/>
      <w:bookmarkEnd w:id="5"/>
    </w:p>
    <w:p w14:paraId="7F6961AD" w14:textId="7E926547" w:rsidR="00E13C27" w:rsidRPr="00F67051" w:rsidRDefault="00A443CF" w:rsidP="0021633A">
      <w:pPr>
        <w:pStyle w:val="HeadHatzaotHok"/>
        <w:rPr>
          <w:rtl/>
        </w:rPr>
      </w:pPr>
      <w:r>
        <w:rPr>
          <w:rFonts w:hint="cs"/>
          <w:rtl/>
        </w:rPr>
        <w:t xml:space="preserve">הצעת חוק סדר הדין הפלילי (תיקון – חובת יידוע על הזמנה למשפט באמצעות </w:t>
      </w:r>
      <w:r w:rsidR="00AB17AE">
        <w:rPr>
          <w:rFonts w:hint="cs"/>
          <w:rtl/>
        </w:rPr>
        <w:t>מסרון</w:t>
      </w:r>
      <w:r>
        <w:rPr>
          <w:rFonts w:hint="cs"/>
          <w:rtl/>
        </w:rPr>
        <w:t xml:space="preserve">), </w:t>
      </w:r>
      <w:proofErr w:type="spellStart"/>
      <w:r>
        <w:rPr>
          <w:rFonts w:hint="cs"/>
          <w:rtl/>
        </w:rPr>
        <w:t>התשע"ח</w:t>
      </w:r>
      <w:proofErr w:type="spellEnd"/>
      <w:r>
        <w:rPr>
          <w:rFonts w:hint="cs"/>
          <w:rtl/>
        </w:rPr>
        <w:t>–2018</w:t>
      </w:r>
      <w:bookmarkEnd w:id="4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3"/>
        <w:gridCol w:w="397"/>
        <w:gridCol w:w="2098"/>
        <w:gridCol w:w="624"/>
        <w:gridCol w:w="4649"/>
      </w:tblGrid>
      <w:tr w:rsidR="00024734" w:rsidRPr="00C546D1" w14:paraId="0A6978C0" w14:textId="77777777" w:rsidTr="000039B4">
        <w:trPr>
          <w:cantSplit/>
        </w:trPr>
        <w:tc>
          <w:tcPr>
            <w:tcW w:w="184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7A8D97" w14:textId="5B8F9284" w:rsidR="00024734" w:rsidRPr="00483A3A" w:rsidRDefault="00024734" w:rsidP="007F7828">
            <w:pPr>
              <w:pStyle w:val="TableBlock"/>
              <w:tabs>
                <w:tab w:val="clear" w:pos="624"/>
                <w:tab w:val="clear" w:pos="1247"/>
              </w:tabs>
              <w:rPr>
                <w:rtl/>
              </w:rPr>
            </w:pPr>
            <w:r w:rsidRPr="00483A3A">
              <w:rPr>
                <w:rFonts w:hint="cs"/>
                <w:rtl/>
              </w:rPr>
              <w:t xml:space="preserve">הוספת סעיף </w:t>
            </w:r>
            <w:r w:rsidR="007F7828">
              <w:rPr>
                <w:rFonts w:hint="cs"/>
                <w:rtl/>
              </w:rPr>
              <w:t>237א</w:t>
            </w:r>
          </w:p>
        </w:tc>
        <w:tc>
          <w:tcPr>
            <w:tcW w:w="420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96A11D" w14:textId="77777777" w:rsidR="00024734" w:rsidRPr="00483A3A" w:rsidRDefault="00024734" w:rsidP="00404735">
            <w:pPr>
              <w:pStyle w:val="TableBlock"/>
              <w:rPr>
                <w:rtl/>
              </w:rPr>
            </w:pPr>
            <w:r w:rsidRPr="00483A3A">
              <w:rPr>
                <w:rFonts w:hint="cs"/>
                <w:rtl/>
              </w:rPr>
              <w:t>1.</w:t>
            </w:r>
          </w:p>
        </w:tc>
        <w:tc>
          <w:tcPr>
            <w:tcW w:w="7371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AFA569" w14:textId="5E23F9FB" w:rsidR="00024734" w:rsidRPr="00483A3A" w:rsidRDefault="00024734" w:rsidP="00362C06">
            <w:pPr>
              <w:pStyle w:val="TableBlock"/>
              <w:rPr>
                <w:rtl/>
              </w:rPr>
            </w:pPr>
            <w:r w:rsidRPr="00483A3A">
              <w:rPr>
                <w:rFonts w:hint="cs"/>
                <w:rtl/>
              </w:rPr>
              <w:t xml:space="preserve">בחוק סדר הדין הפלילי [נוסח משולב], </w:t>
            </w:r>
            <w:proofErr w:type="spellStart"/>
            <w:r w:rsidRPr="00483A3A">
              <w:rPr>
                <w:rFonts w:hint="cs"/>
                <w:rtl/>
              </w:rPr>
              <w:t>התשמ"ב</w:t>
            </w:r>
            <w:proofErr w:type="spellEnd"/>
            <w:r w:rsidRPr="00483A3A">
              <w:rPr>
                <w:rFonts w:hint="eastAsia"/>
                <w:rtl/>
              </w:rPr>
              <w:t>–</w:t>
            </w:r>
            <w:r w:rsidRPr="00483A3A">
              <w:rPr>
                <w:rFonts w:hint="cs"/>
                <w:rtl/>
              </w:rPr>
              <w:t>1982</w:t>
            </w:r>
            <w:r w:rsidRPr="006641DA">
              <w:rPr>
                <w:vertAlign w:val="superscript"/>
                <w:rtl/>
              </w:rPr>
              <w:footnoteReference w:id="2"/>
            </w:r>
            <w:r>
              <w:rPr>
                <w:rFonts w:hint="cs"/>
                <w:rtl/>
              </w:rPr>
              <w:t xml:space="preserve"> 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החוק</w:t>
            </w:r>
            <w:r w:rsidR="006641DA">
              <w:rPr>
                <w:rFonts w:hint="cs"/>
                <w:rtl/>
              </w:rPr>
              <w:t xml:space="preserve"> העיקרי</w:t>
            </w:r>
            <w:r>
              <w:rPr>
                <w:rFonts w:hint="cs"/>
                <w:rtl/>
              </w:rPr>
              <w:t>)</w:t>
            </w:r>
            <w:r w:rsidRPr="00483A3A">
              <w:rPr>
                <w:rFonts w:hint="cs"/>
                <w:rtl/>
              </w:rPr>
              <w:t xml:space="preserve">, </w:t>
            </w:r>
            <w:r w:rsidRPr="00483A3A">
              <w:rPr>
                <w:rtl/>
              </w:rPr>
              <w:t xml:space="preserve">אחרי סעיף </w:t>
            </w:r>
            <w:r w:rsidRPr="00483A3A">
              <w:rPr>
                <w:rFonts w:hint="cs"/>
                <w:rtl/>
              </w:rPr>
              <w:t>23</w:t>
            </w:r>
            <w:r w:rsidR="007F7828">
              <w:rPr>
                <w:rFonts w:hint="cs"/>
                <w:rtl/>
              </w:rPr>
              <w:t>7</w:t>
            </w:r>
            <w:r w:rsidRPr="00483A3A">
              <w:rPr>
                <w:rtl/>
              </w:rPr>
              <w:t xml:space="preserve"> יבוא:</w:t>
            </w:r>
          </w:p>
        </w:tc>
      </w:tr>
      <w:tr w:rsidR="00024734" w14:paraId="05535983" w14:textId="77777777" w:rsidTr="000039B4">
        <w:tblPrEx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1870" w:type="dxa"/>
            <w:gridSpan w:val="2"/>
          </w:tcPr>
          <w:p w14:paraId="0B4A1BCB" w14:textId="77777777" w:rsidR="00024734" w:rsidRPr="00483A3A" w:rsidRDefault="00024734" w:rsidP="00404735">
            <w:pPr>
              <w:pStyle w:val="TableBlock"/>
            </w:pPr>
          </w:p>
        </w:tc>
        <w:tc>
          <w:tcPr>
            <w:tcW w:w="397" w:type="dxa"/>
          </w:tcPr>
          <w:p w14:paraId="3518FD82" w14:textId="77777777" w:rsidR="00024734" w:rsidRPr="00483A3A" w:rsidRDefault="00024734" w:rsidP="00404735">
            <w:pPr>
              <w:pStyle w:val="TableBlock"/>
            </w:pPr>
          </w:p>
        </w:tc>
        <w:tc>
          <w:tcPr>
            <w:tcW w:w="2098" w:type="dxa"/>
          </w:tcPr>
          <w:p w14:paraId="1AC23800" w14:textId="77777777" w:rsidR="00024734" w:rsidRPr="00483A3A" w:rsidRDefault="00024734" w:rsidP="002A017B">
            <w:pPr>
              <w:pStyle w:val="TableBlock"/>
              <w:jc w:val="left"/>
            </w:pPr>
            <w:r w:rsidRPr="00483A3A">
              <w:rPr>
                <w:rFonts w:hint="cs"/>
                <w:rtl/>
              </w:rPr>
              <w:t xml:space="preserve">"יידוע </w:t>
            </w:r>
            <w:r>
              <w:rPr>
                <w:rFonts w:hint="cs"/>
                <w:rtl/>
              </w:rPr>
              <w:t xml:space="preserve">על זימון למשפט </w:t>
            </w:r>
            <w:r w:rsidRPr="00483A3A">
              <w:rPr>
                <w:rFonts w:hint="cs"/>
                <w:rtl/>
              </w:rPr>
              <w:t xml:space="preserve">באמצעות מסרון </w:t>
            </w:r>
          </w:p>
        </w:tc>
        <w:tc>
          <w:tcPr>
            <w:tcW w:w="624" w:type="dxa"/>
          </w:tcPr>
          <w:p w14:paraId="27EB0E53" w14:textId="1F989134" w:rsidR="00024734" w:rsidRPr="00483A3A" w:rsidRDefault="007F7828" w:rsidP="00404735">
            <w:pPr>
              <w:pStyle w:val="TableBlock"/>
            </w:pPr>
            <w:r>
              <w:rPr>
                <w:rFonts w:hint="cs"/>
                <w:rtl/>
              </w:rPr>
              <w:t>237א</w:t>
            </w:r>
            <w:r w:rsidR="00024734" w:rsidRPr="00483A3A">
              <w:rPr>
                <w:rFonts w:hint="cs"/>
                <w:rtl/>
              </w:rPr>
              <w:t>.</w:t>
            </w:r>
          </w:p>
        </w:tc>
        <w:tc>
          <w:tcPr>
            <w:tcW w:w="4649" w:type="dxa"/>
          </w:tcPr>
          <w:p w14:paraId="7F915413" w14:textId="20D617FE" w:rsidR="00024734" w:rsidRPr="00483A3A" w:rsidRDefault="00401430" w:rsidP="00401430">
            <w:pPr>
              <w:pStyle w:val="TableBlock"/>
            </w:pPr>
            <w:r>
              <w:rPr>
                <w:rFonts w:hint="cs"/>
                <w:rtl/>
              </w:rPr>
              <w:t xml:space="preserve">נוסף על דרכי ההמצאה המנויות בסעיף 237, </w:t>
            </w:r>
            <w:r w:rsidR="007F7828">
              <w:rPr>
                <w:rFonts w:hint="cs"/>
                <w:rtl/>
              </w:rPr>
              <w:t>הזמנה כאמור בסעיף 230 ת</w:t>
            </w:r>
            <w:r w:rsidR="00362C06">
              <w:rPr>
                <w:rFonts w:hint="cs"/>
                <w:rtl/>
              </w:rPr>
              <w:t>י</w:t>
            </w:r>
            <w:r w:rsidR="007F7828">
              <w:rPr>
                <w:rFonts w:hint="cs"/>
                <w:rtl/>
              </w:rPr>
              <w:t xml:space="preserve">עשה </w:t>
            </w:r>
            <w:r>
              <w:rPr>
                <w:rFonts w:hint="cs"/>
                <w:rtl/>
              </w:rPr>
              <w:t>גם ב</w:t>
            </w:r>
            <w:r w:rsidR="007F7828">
              <w:rPr>
                <w:rFonts w:hint="cs"/>
                <w:rtl/>
              </w:rPr>
              <w:t xml:space="preserve">אמצעות מסרון, </w:t>
            </w:r>
            <w:r w:rsidR="005D2237">
              <w:rPr>
                <w:rFonts w:hint="cs"/>
                <w:rtl/>
              </w:rPr>
              <w:t xml:space="preserve">ככל </w:t>
            </w:r>
            <w:r w:rsidR="00C14CE7">
              <w:rPr>
                <w:rFonts w:hint="cs"/>
                <w:rtl/>
              </w:rPr>
              <w:t>שידוע</w:t>
            </w:r>
            <w:r w:rsidR="005D2237">
              <w:rPr>
                <w:rFonts w:hint="cs"/>
                <w:rtl/>
              </w:rPr>
              <w:t xml:space="preserve"> לבית המשפט מספר </w:t>
            </w:r>
            <w:r w:rsidR="00C14CE7">
              <w:rPr>
                <w:rFonts w:hint="cs"/>
                <w:rtl/>
              </w:rPr>
              <w:t>ה</w:t>
            </w:r>
            <w:r w:rsidR="005D2237">
              <w:rPr>
                <w:rFonts w:hint="cs"/>
                <w:rtl/>
              </w:rPr>
              <w:t xml:space="preserve">טלפון </w:t>
            </w:r>
            <w:r w:rsidR="00C14CE7">
              <w:rPr>
                <w:rFonts w:hint="cs"/>
                <w:rtl/>
              </w:rPr>
              <w:t>ה</w:t>
            </w:r>
            <w:r w:rsidR="005D2237">
              <w:rPr>
                <w:rFonts w:hint="cs"/>
                <w:rtl/>
              </w:rPr>
              <w:t xml:space="preserve">נייד </w:t>
            </w:r>
            <w:r w:rsidR="00C14CE7">
              <w:rPr>
                <w:rFonts w:hint="cs"/>
                <w:rtl/>
              </w:rPr>
              <w:t>של</w:t>
            </w:r>
            <w:r w:rsidR="005D2237">
              <w:rPr>
                <w:rFonts w:hint="cs"/>
                <w:rtl/>
              </w:rPr>
              <w:t xml:space="preserve"> הנאשם</w:t>
            </w:r>
            <w:r w:rsidR="00A02000">
              <w:rPr>
                <w:rFonts w:hint="cs"/>
                <w:rtl/>
              </w:rPr>
              <w:t>;</w:t>
            </w:r>
            <w:r w:rsidR="007F7828">
              <w:rPr>
                <w:rFonts w:hint="cs"/>
                <w:rtl/>
              </w:rPr>
              <w:t xml:space="preserve"> </w:t>
            </w:r>
            <w:r w:rsidR="00024734" w:rsidRPr="00483A3A">
              <w:rPr>
                <w:rFonts w:hint="cs"/>
                <w:rtl/>
              </w:rPr>
              <w:t>המסרון יכלול הודעה בדבר פ</w:t>
            </w:r>
            <w:r w:rsidR="007F7828">
              <w:rPr>
                <w:rFonts w:hint="cs"/>
                <w:rtl/>
              </w:rPr>
              <w:t>תיחת תיק בית המשפט ופרטיו המזהים, תאריך ה</w:t>
            </w:r>
            <w:r w:rsidR="00024734">
              <w:rPr>
                <w:rFonts w:hint="cs"/>
                <w:rtl/>
              </w:rPr>
              <w:t>דיון בבית המשפט</w:t>
            </w:r>
            <w:r w:rsidR="007F7828">
              <w:rPr>
                <w:rFonts w:hint="cs"/>
                <w:rtl/>
              </w:rPr>
              <w:t>, כתובתו,</w:t>
            </w:r>
            <w:r w:rsidR="00024734" w:rsidRPr="00483A3A">
              <w:rPr>
                <w:rFonts w:hint="cs"/>
                <w:rtl/>
              </w:rPr>
              <w:t xml:space="preserve"> </w:t>
            </w:r>
            <w:r w:rsidR="007F7828">
              <w:rPr>
                <w:rFonts w:hint="cs"/>
                <w:rtl/>
              </w:rPr>
              <w:t xml:space="preserve">והשעה </w:t>
            </w:r>
            <w:r w:rsidR="00362C06">
              <w:rPr>
                <w:rFonts w:hint="cs"/>
                <w:rtl/>
              </w:rPr>
              <w:t>ש</w:t>
            </w:r>
            <w:r w:rsidR="007F7828">
              <w:rPr>
                <w:rFonts w:hint="cs"/>
                <w:rtl/>
              </w:rPr>
              <w:t>בה יתקיים</w:t>
            </w:r>
            <w:r w:rsidR="000039B4">
              <w:rPr>
                <w:rFonts w:hint="cs"/>
                <w:rtl/>
              </w:rPr>
              <w:t>."</w:t>
            </w:r>
          </w:p>
        </w:tc>
      </w:tr>
      <w:tr w:rsidR="00024734" w:rsidRPr="00C546D1" w14:paraId="606C1A4A" w14:textId="77777777" w:rsidTr="000039B4">
        <w:tblPrEx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1847" w:type="dxa"/>
          </w:tcPr>
          <w:p w14:paraId="3C1B5E46" w14:textId="40C35664" w:rsidR="00024734" w:rsidRDefault="00024734" w:rsidP="00362C06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תיקון סעיף 239</w:t>
            </w:r>
          </w:p>
        </w:tc>
        <w:tc>
          <w:tcPr>
            <w:tcW w:w="420" w:type="dxa"/>
            <w:gridSpan w:val="2"/>
          </w:tcPr>
          <w:p w14:paraId="00FC667F" w14:textId="79169662" w:rsidR="00024734" w:rsidRPr="00483A3A" w:rsidDel="00112343" w:rsidRDefault="000039B4" w:rsidP="0040473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024734">
              <w:rPr>
                <w:rFonts w:hint="cs"/>
                <w:rtl/>
              </w:rPr>
              <w:t xml:space="preserve">. </w:t>
            </w:r>
          </w:p>
        </w:tc>
        <w:tc>
          <w:tcPr>
            <w:tcW w:w="7371" w:type="dxa"/>
            <w:gridSpan w:val="3"/>
          </w:tcPr>
          <w:p w14:paraId="6DF4B90D" w14:textId="4A4E814D" w:rsidR="00024734" w:rsidRDefault="006641DA" w:rsidP="00362C06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בסעיף 239 לחוק העיקרי, </w:t>
            </w:r>
            <w:r w:rsidR="000039B4">
              <w:rPr>
                <w:rFonts w:hint="cs"/>
                <w:rtl/>
              </w:rPr>
              <w:t>בסופו יבוא "</w:t>
            </w:r>
            <w:r>
              <w:rPr>
                <w:rFonts w:hint="cs"/>
                <w:rtl/>
              </w:rPr>
              <w:t>ו</w:t>
            </w:r>
            <w:r w:rsidR="000039B4">
              <w:rPr>
                <w:rFonts w:hint="cs"/>
                <w:rtl/>
              </w:rPr>
              <w:t>בהתחשב ב</w:t>
            </w:r>
            <w:r>
              <w:rPr>
                <w:rFonts w:hint="cs"/>
                <w:rtl/>
              </w:rPr>
              <w:t xml:space="preserve">הוראות </w:t>
            </w:r>
            <w:r w:rsidR="000039B4">
              <w:rPr>
                <w:rFonts w:hint="cs"/>
                <w:rtl/>
              </w:rPr>
              <w:t>סעיף</w:t>
            </w:r>
            <w:r w:rsidR="00024734">
              <w:rPr>
                <w:rFonts w:hint="cs"/>
                <w:rtl/>
              </w:rPr>
              <w:t xml:space="preserve"> 237</w:t>
            </w:r>
            <w:r w:rsidR="000039B4">
              <w:rPr>
                <w:rFonts w:hint="cs"/>
                <w:rtl/>
              </w:rPr>
              <w:t>א"</w:t>
            </w:r>
            <w:r w:rsidR="00362C06">
              <w:rPr>
                <w:rFonts w:hint="cs"/>
                <w:rtl/>
              </w:rPr>
              <w:t>.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477B23DE" w14:textId="506320B2" w:rsidR="00024734" w:rsidRPr="007D4299" w:rsidRDefault="002A017B" w:rsidP="00401430">
      <w:pPr>
        <w:pStyle w:val="Hesber"/>
        <w:rPr>
          <w:rtl/>
        </w:rPr>
      </w:pPr>
      <w:r w:rsidRPr="007D4299">
        <w:rPr>
          <w:rFonts w:hint="cs"/>
          <w:rtl/>
        </w:rPr>
        <w:t xml:space="preserve">תופעה כאובה </w:t>
      </w:r>
      <w:r w:rsidR="00401430">
        <w:rPr>
          <w:rFonts w:hint="cs"/>
          <w:rtl/>
        </w:rPr>
        <w:t>ה</w:t>
      </w:r>
      <w:r w:rsidRPr="007D4299">
        <w:rPr>
          <w:rFonts w:hint="cs"/>
          <w:rtl/>
        </w:rPr>
        <w:t>רו</w:t>
      </w:r>
      <w:r w:rsidR="007F7828" w:rsidRPr="007D4299">
        <w:rPr>
          <w:rFonts w:hint="cs"/>
          <w:rtl/>
        </w:rPr>
        <w:t xml:space="preserve">וחת במערכת המשפט הישראלית </w:t>
      </w:r>
      <w:r w:rsidR="00401430">
        <w:rPr>
          <w:rFonts w:hint="cs"/>
          <w:rtl/>
        </w:rPr>
        <w:t>היא</w:t>
      </w:r>
      <w:r w:rsidR="007F7828" w:rsidRPr="007D4299">
        <w:rPr>
          <w:rFonts w:hint="cs"/>
          <w:rtl/>
        </w:rPr>
        <w:t xml:space="preserve"> </w:t>
      </w:r>
      <w:r w:rsidR="00401430">
        <w:rPr>
          <w:rFonts w:hint="cs"/>
          <w:rtl/>
        </w:rPr>
        <w:t>ש</w:t>
      </w:r>
      <w:r w:rsidR="00024734" w:rsidRPr="007D4299">
        <w:rPr>
          <w:rFonts w:hint="cs"/>
          <w:rtl/>
        </w:rPr>
        <w:t xml:space="preserve">נאשמים </w:t>
      </w:r>
      <w:r w:rsidR="00116F84" w:rsidRPr="007D4299">
        <w:rPr>
          <w:rFonts w:hint="cs"/>
          <w:rtl/>
        </w:rPr>
        <w:t>בהליך פלילי בגין עבירת קנס</w:t>
      </w:r>
      <w:r w:rsidRPr="007D4299">
        <w:rPr>
          <w:rFonts w:hint="cs"/>
          <w:rtl/>
        </w:rPr>
        <w:t xml:space="preserve"> </w:t>
      </w:r>
      <w:r w:rsidR="00024734" w:rsidRPr="007D4299">
        <w:rPr>
          <w:rFonts w:hint="cs"/>
          <w:rtl/>
        </w:rPr>
        <w:t>אינם מודעים ל</w:t>
      </w:r>
      <w:r w:rsidR="007F7828" w:rsidRPr="007D4299">
        <w:rPr>
          <w:rFonts w:hint="cs"/>
          <w:rtl/>
        </w:rPr>
        <w:t xml:space="preserve">זימון </w:t>
      </w:r>
      <w:r w:rsidR="00024734" w:rsidRPr="007D4299">
        <w:rPr>
          <w:rFonts w:hint="cs"/>
          <w:rtl/>
        </w:rPr>
        <w:t>למשפט</w:t>
      </w:r>
      <w:r w:rsidR="007F7828" w:rsidRPr="007D4299">
        <w:rPr>
          <w:rFonts w:hint="cs"/>
          <w:rtl/>
        </w:rPr>
        <w:t xml:space="preserve"> שעתיד להתקיים בעניינם</w:t>
      </w:r>
      <w:r w:rsidR="00024734" w:rsidRPr="007D4299">
        <w:rPr>
          <w:rFonts w:hint="cs"/>
          <w:rtl/>
        </w:rPr>
        <w:t xml:space="preserve">. בחוק סדר הדין הפלילי </w:t>
      </w:r>
      <w:r w:rsidR="00024734" w:rsidRPr="007D4299">
        <w:rPr>
          <w:rtl/>
        </w:rPr>
        <w:t>[נוסח משולב]</w:t>
      </w:r>
      <w:r w:rsidR="00024734" w:rsidRPr="007D4299">
        <w:rPr>
          <w:rFonts w:hint="cs"/>
          <w:rtl/>
        </w:rPr>
        <w:t>,</w:t>
      </w:r>
      <w:r w:rsidR="00024734" w:rsidRPr="007D4299">
        <w:rPr>
          <w:rtl/>
        </w:rPr>
        <w:t xml:space="preserve"> </w:t>
      </w:r>
      <w:proofErr w:type="spellStart"/>
      <w:r w:rsidR="00024734" w:rsidRPr="007D4299">
        <w:rPr>
          <w:rFonts w:hint="cs"/>
          <w:rtl/>
        </w:rPr>
        <w:t>ה</w:t>
      </w:r>
      <w:r w:rsidR="00024734" w:rsidRPr="007D4299">
        <w:rPr>
          <w:rtl/>
        </w:rPr>
        <w:t>תשמ"ב</w:t>
      </w:r>
      <w:proofErr w:type="spellEnd"/>
      <w:r w:rsidR="00024734" w:rsidRPr="007D4299">
        <w:rPr>
          <w:rFonts w:hint="cs"/>
          <w:rtl/>
        </w:rPr>
        <w:t>–</w:t>
      </w:r>
      <w:r w:rsidR="00024734" w:rsidRPr="007D4299">
        <w:rPr>
          <w:rtl/>
        </w:rPr>
        <w:t>1982</w:t>
      </w:r>
      <w:r w:rsidR="00401430">
        <w:rPr>
          <w:rFonts w:hint="cs"/>
          <w:rtl/>
        </w:rPr>
        <w:t xml:space="preserve"> (להלן </w:t>
      </w:r>
      <w:r w:rsidR="00401430">
        <w:rPr>
          <w:rFonts w:hint="eastAsia"/>
          <w:rtl/>
        </w:rPr>
        <w:t>–</w:t>
      </w:r>
      <w:r w:rsidR="00BC3880" w:rsidRPr="007D4299">
        <w:rPr>
          <w:rFonts w:hint="cs"/>
          <w:rtl/>
        </w:rPr>
        <w:t xml:space="preserve"> </w:t>
      </w:r>
      <w:r w:rsidR="00401430">
        <w:rPr>
          <w:rFonts w:hint="cs"/>
          <w:rtl/>
        </w:rPr>
        <w:t>החוק</w:t>
      </w:r>
      <w:r w:rsidR="00BC3880" w:rsidRPr="007D4299">
        <w:rPr>
          <w:rFonts w:hint="cs"/>
          <w:rtl/>
        </w:rPr>
        <w:t>)</w:t>
      </w:r>
      <w:r w:rsidR="00362C06">
        <w:rPr>
          <w:rFonts w:hint="cs"/>
          <w:rtl/>
        </w:rPr>
        <w:t>,</w:t>
      </w:r>
      <w:r w:rsidR="00BC3880" w:rsidRPr="007D4299">
        <w:rPr>
          <w:rFonts w:hint="cs"/>
          <w:rtl/>
        </w:rPr>
        <w:t xml:space="preserve"> </w:t>
      </w:r>
      <w:r w:rsidR="00024734" w:rsidRPr="007D4299">
        <w:rPr>
          <w:rFonts w:hint="cs"/>
          <w:rtl/>
        </w:rPr>
        <w:t>מעוגנת חובת יידוע הנאשם בהזמנה למשפט באמצעות מסירה אישית. ואולם, לעתים ח</w:t>
      </w:r>
      <w:r w:rsidR="00116F84" w:rsidRPr="007D4299">
        <w:rPr>
          <w:rFonts w:hint="cs"/>
          <w:rtl/>
        </w:rPr>
        <w:t>ובת יידוע זו אינה מספקת שכן הזימון</w:t>
      </w:r>
      <w:r w:rsidR="00024734" w:rsidRPr="007D4299">
        <w:rPr>
          <w:rFonts w:hint="cs"/>
          <w:rtl/>
        </w:rPr>
        <w:t xml:space="preserve"> למשפט לא מגיע ליעדו מסיבות </w:t>
      </w:r>
      <w:r w:rsidRPr="007D4299">
        <w:rPr>
          <w:rFonts w:hint="cs"/>
          <w:rtl/>
        </w:rPr>
        <w:t>שונות,</w:t>
      </w:r>
      <w:r w:rsidR="00024734" w:rsidRPr="007D4299">
        <w:rPr>
          <w:rFonts w:hint="cs"/>
          <w:rtl/>
        </w:rPr>
        <w:t xml:space="preserve"> </w:t>
      </w:r>
      <w:r w:rsidRPr="007D4299">
        <w:rPr>
          <w:rtl/>
        </w:rPr>
        <w:t>שאינן תלויות ב</w:t>
      </w:r>
      <w:r w:rsidRPr="007D4299">
        <w:rPr>
          <w:rFonts w:hint="cs"/>
          <w:rtl/>
        </w:rPr>
        <w:t>נאשם</w:t>
      </w:r>
      <w:r w:rsidR="00C71A54" w:rsidRPr="007D4299">
        <w:rPr>
          <w:rFonts w:hint="cs"/>
          <w:rtl/>
        </w:rPr>
        <w:t>,</w:t>
      </w:r>
      <w:r w:rsidR="00024734" w:rsidRPr="007D4299">
        <w:rPr>
          <w:rtl/>
        </w:rPr>
        <w:t xml:space="preserve"> ולא עקב הימנעותו</w:t>
      </w:r>
      <w:r w:rsidR="00116F84" w:rsidRPr="007D4299">
        <w:rPr>
          <w:rtl/>
        </w:rPr>
        <w:t xml:space="preserve"> מ</w:t>
      </w:r>
      <w:r w:rsidR="00024734" w:rsidRPr="007D4299">
        <w:rPr>
          <w:rtl/>
        </w:rPr>
        <w:t>קבל</w:t>
      </w:r>
      <w:r w:rsidR="00116F84" w:rsidRPr="007D4299">
        <w:rPr>
          <w:rFonts w:hint="cs"/>
          <w:rtl/>
        </w:rPr>
        <w:t>ה</w:t>
      </w:r>
      <w:r w:rsidR="00024734" w:rsidRPr="007D4299">
        <w:rPr>
          <w:rtl/>
        </w:rPr>
        <w:t>.</w:t>
      </w:r>
    </w:p>
    <w:p w14:paraId="12C85D81" w14:textId="05C232C9" w:rsidR="00BC3880" w:rsidRPr="007D4299" w:rsidRDefault="00024734" w:rsidP="00362C06">
      <w:pPr>
        <w:pStyle w:val="Hesber"/>
        <w:rPr>
          <w:rtl/>
        </w:rPr>
      </w:pPr>
      <w:r w:rsidRPr="007D4299">
        <w:rPr>
          <w:rtl/>
        </w:rPr>
        <w:t xml:space="preserve">הוראת </w:t>
      </w:r>
      <w:r w:rsidR="00BC3880" w:rsidRPr="007D4299">
        <w:rPr>
          <w:rFonts w:hint="cs"/>
          <w:rtl/>
        </w:rPr>
        <w:t xml:space="preserve">סעיף 228(א) לחוק קובעת כי </w:t>
      </w:r>
      <w:r w:rsidR="00BC3880" w:rsidRPr="007D4299">
        <w:rPr>
          <w:rtl/>
        </w:rPr>
        <w:t>עבירת קנס היא עבירה של ברירת משפט</w:t>
      </w:r>
      <w:r w:rsidR="00BC3880" w:rsidRPr="007D4299">
        <w:rPr>
          <w:rFonts w:hint="cs"/>
          <w:rtl/>
        </w:rPr>
        <w:t>. כלומר, למעט מספר חריגים הקבועים בחוק, בפני אדם שמואשם בעבירה שהעונש בגינה הינו תשלום קנס, קיימת הזכות להישפט בבית</w:t>
      </w:r>
      <w:r w:rsidR="00362C06">
        <w:rPr>
          <w:rFonts w:hint="cs"/>
          <w:rtl/>
        </w:rPr>
        <w:t xml:space="preserve"> </w:t>
      </w:r>
      <w:r w:rsidR="00BC3880" w:rsidRPr="007D4299">
        <w:rPr>
          <w:rFonts w:hint="cs"/>
          <w:rtl/>
        </w:rPr>
        <w:t xml:space="preserve">המשפט ולבקש להוכיח חפותו בפני גורם שיפוטי. </w:t>
      </w:r>
      <w:r w:rsidRPr="007D4299">
        <w:rPr>
          <w:rtl/>
        </w:rPr>
        <w:t>סעיף</w:t>
      </w:r>
      <w:r w:rsidR="00C71A54" w:rsidRPr="007D4299">
        <w:rPr>
          <w:rFonts w:hint="cs"/>
          <w:rtl/>
        </w:rPr>
        <w:t xml:space="preserve"> 229(א)(2) </w:t>
      </w:r>
      <w:r w:rsidR="00C71A54" w:rsidRPr="007D4299">
        <w:rPr>
          <w:rtl/>
        </w:rPr>
        <w:t>לחוק</w:t>
      </w:r>
      <w:r w:rsidR="00BC3880" w:rsidRPr="007D4299">
        <w:rPr>
          <w:rFonts w:hint="cs"/>
          <w:rtl/>
        </w:rPr>
        <w:t xml:space="preserve"> קובע</w:t>
      </w:r>
      <w:r w:rsidR="00C71A54" w:rsidRPr="007D4299">
        <w:rPr>
          <w:rFonts w:hint="cs"/>
          <w:rtl/>
        </w:rPr>
        <w:t xml:space="preserve"> כי אדם שקיבל הודעת תשלום קנס רשאי להודיע ש</w:t>
      </w:r>
      <w:r w:rsidR="00C71A54" w:rsidRPr="007D4299">
        <w:rPr>
          <w:rtl/>
        </w:rPr>
        <w:t>ברצונו להישפט על העבירה</w:t>
      </w:r>
      <w:r w:rsidR="00C71A54" w:rsidRPr="007D4299">
        <w:rPr>
          <w:rFonts w:hint="cs"/>
          <w:rtl/>
        </w:rPr>
        <w:t>, ובעקבותיה</w:t>
      </w:r>
      <w:r w:rsidR="00AD4496" w:rsidRPr="007D4299">
        <w:rPr>
          <w:rFonts w:hint="cs"/>
          <w:rtl/>
        </w:rPr>
        <w:t xml:space="preserve"> אין הוא מחו</w:t>
      </w:r>
      <w:r w:rsidR="00C71A54" w:rsidRPr="007D4299">
        <w:rPr>
          <w:rFonts w:hint="cs"/>
          <w:rtl/>
        </w:rPr>
        <w:t xml:space="preserve">יב בתשלום הקנס. סעיף 230 לחוק </w:t>
      </w:r>
      <w:r w:rsidR="00BC3880" w:rsidRPr="007D4299">
        <w:rPr>
          <w:rFonts w:hint="cs"/>
          <w:rtl/>
        </w:rPr>
        <w:t>מוסיף ומפרט</w:t>
      </w:r>
      <w:r w:rsidR="00C71A54" w:rsidRPr="007D4299">
        <w:rPr>
          <w:rFonts w:hint="cs"/>
          <w:rtl/>
        </w:rPr>
        <w:t xml:space="preserve"> כי</w:t>
      </w:r>
      <w:r w:rsidRPr="007D4299">
        <w:rPr>
          <w:rtl/>
        </w:rPr>
        <w:t xml:space="preserve"> </w:t>
      </w:r>
      <w:r w:rsidRPr="007D4299">
        <w:rPr>
          <w:rFonts w:hint="cs"/>
          <w:rtl/>
        </w:rPr>
        <w:t>תישלח הזמנה למשפט תוך שנה מיום שנתקבלה הודעתו ע</w:t>
      </w:r>
      <w:r w:rsidR="007F7828" w:rsidRPr="007D4299">
        <w:rPr>
          <w:rFonts w:hint="cs"/>
          <w:rtl/>
        </w:rPr>
        <w:t>ל רצונו להישפט</w:t>
      </w:r>
      <w:r w:rsidRPr="007D4299">
        <w:rPr>
          <w:rFonts w:hint="cs"/>
          <w:rtl/>
        </w:rPr>
        <w:t>.</w:t>
      </w:r>
      <w:r w:rsidRPr="007D4299">
        <w:rPr>
          <w:rtl/>
        </w:rPr>
        <w:t xml:space="preserve"> </w:t>
      </w:r>
    </w:p>
    <w:p w14:paraId="060D0D76" w14:textId="0622FAA0" w:rsidR="00024734" w:rsidRPr="007D4299" w:rsidRDefault="00024734" w:rsidP="00362C06">
      <w:pPr>
        <w:pStyle w:val="Hesber"/>
        <w:rPr>
          <w:rtl/>
        </w:rPr>
      </w:pPr>
      <w:r w:rsidRPr="007D4299">
        <w:rPr>
          <w:rFonts w:hint="cs"/>
          <w:rtl/>
        </w:rPr>
        <w:t xml:space="preserve">סעיף 237 לחוק קובע </w:t>
      </w:r>
      <w:r w:rsidR="00986C8C" w:rsidRPr="007D4299">
        <w:rPr>
          <w:rFonts w:hint="cs"/>
          <w:rtl/>
        </w:rPr>
        <w:t>כי יש להמציא</w:t>
      </w:r>
      <w:r w:rsidRPr="007D4299">
        <w:rPr>
          <w:rFonts w:hint="cs"/>
          <w:rtl/>
        </w:rPr>
        <w:t xml:space="preserve"> לאדם </w:t>
      </w:r>
      <w:r w:rsidR="00986C8C" w:rsidRPr="007D4299">
        <w:rPr>
          <w:rFonts w:hint="cs"/>
          <w:rtl/>
        </w:rPr>
        <w:t xml:space="preserve">הזמנה זו </w:t>
      </w:r>
      <w:r w:rsidR="00116F84" w:rsidRPr="007D4299">
        <w:rPr>
          <w:rFonts w:hint="cs"/>
          <w:rtl/>
        </w:rPr>
        <w:t xml:space="preserve">באמצעות מסירה אישית, או באמצעות </w:t>
      </w:r>
      <w:r w:rsidRPr="007D4299">
        <w:rPr>
          <w:rFonts w:hint="cs"/>
          <w:rtl/>
        </w:rPr>
        <w:t xml:space="preserve">משלוח מכתב רשום לפי מענו של האדם, התאגיד או חבר בני-האדם, </w:t>
      </w:r>
      <w:r w:rsidR="00116F84" w:rsidRPr="007D4299">
        <w:rPr>
          <w:rFonts w:hint="cs"/>
          <w:rtl/>
        </w:rPr>
        <w:t xml:space="preserve">ולקבל על כך </w:t>
      </w:r>
      <w:r w:rsidRPr="007D4299">
        <w:rPr>
          <w:rFonts w:hint="cs"/>
          <w:rtl/>
        </w:rPr>
        <w:t>אישור מסירה.</w:t>
      </w:r>
      <w:r w:rsidR="00116F84" w:rsidRPr="007D4299">
        <w:rPr>
          <w:rFonts w:hint="cs"/>
          <w:rtl/>
        </w:rPr>
        <w:t xml:space="preserve"> </w:t>
      </w:r>
      <w:r w:rsidRPr="007D4299">
        <w:rPr>
          <w:rtl/>
        </w:rPr>
        <w:t xml:space="preserve">אשר לאופן </w:t>
      </w:r>
      <w:r w:rsidRPr="007D4299">
        <w:rPr>
          <w:rtl/>
        </w:rPr>
        <w:lastRenderedPageBreak/>
        <w:t xml:space="preserve">מסירת ההודעה קובעת תקנה </w:t>
      </w:r>
      <w:r w:rsidRPr="007D4299">
        <w:rPr>
          <w:rFonts w:hint="cs"/>
          <w:rtl/>
        </w:rPr>
        <w:t>44</w:t>
      </w:r>
      <w:r w:rsidRPr="007D4299">
        <w:rPr>
          <w:rtl/>
        </w:rPr>
        <w:t xml:space="preserve"> לתקנות סדר הדין הפלילי, </w:t>
      </w:r>
      <w:proofErr w:type="spellStart"/>
      <w:r w:rsidRPr="007D4299">
        <w:rPr>
          <w:rtl/>
        </w:rPr>
        <w:t>התשל"ד</w:t>
      </w:r>
      <w:proofErr w:type="spellEnd"/>
      <w:r w:rsidRPr="007D4299">
        <w:rPr>
          <w:rtl/>
        </w:rPr>
        <w:t>–1974</w:t>
      </w:r>
      <w:r w:rsidR="00401430">
        <w:rPr>
          <w:rFonts w:hint="cs"/>
          <w:rtl/>
        </w:rPr>
        <w:t xml:space="preserve"> (להלן </w:t>
      </w:r>
      <w:r w:rsidR="00401430">
        <w:rPr>
          <w:rFonts w:hint="eastAsia"/>
          <w:rtl/>
        </w:rPr>
        <w:t>–</w:t>
      </w:r>
      <w:r w:rsidR="00401430">
        <w:rPr>
          <w:rFonts w:hint="cs"/>
          <w:rtl/>
        </w:rPr>
        <w:t xml:space="preserve"> </w:t>
      </w:r>
      <w:r w:rsidR="005D2237" w:rsidRPr="007D4299">
        <w:rPr>
          <w:rFonts w:hint="cs"/>
          <w:rtl/>
        </w:rPr>
        <w:t>התקנות),</w:t>
      </w:r>
      <w:r w:rsidRPr="007D4299">
        <w:rPr>
          <w:rFonts w:hint="cs"/>
          <w:rtl/>
        </w:rPr>
        <w:t xml:space="preserve"> </w:t>
      </w:r>
      <w:r w:rsidRPr="007D4299">
        <w:rPr>
          <w:rtl/>
        </w:rPr>
        <w:t xml:space="preserve">חזקת מסירה, שלפיה </w:t>
      </w:r>
      <w:r w:rsidRPr="007D4299">
        <w:rPr>
          <w:rFonts w:hint="cs"/>
          <w:rtl/>
        </w:rPr>
        <w:t xml:space="preserve">ההזמנה למשפט </w:t>
      </w:r>
      <w:r w:rsidRPr="007D4299">
        <w:rPr>
          <w:rtl/>
        </w:rPr>
        <w:t>תיחשב כאילו הומצאה כדין גם בלא חתימת הנמען על אישור מסירה, אם חלפו 15 ימים מיום שנשלחה לנמען בדואר רשום, זולת אם הוכיח הנמען שלא קיבל את ההודעה מסיבות</w:t>
      </w:r>
      <w:r w:rsidR="002A017B" w:rsidRPr="007D4299">
        <w:rPr>
          <w:rFonts w:hint="cs"/>
          <w:rtl/>
        </w:rPr>
        <w:t xml:space="preserve"> ראויות.</w:t>
      </w:r>
      <w:r w:rsidRPr="007D4299">
        <w:rPr>
          <w:rtl/>
        </w:rPr>
        <w:t xml:space="preserve"> </w:t>
      </w:r>
    </w:p>
    <w:p w14:paraId="6038728A" w14:textId="71FD3BA8" w:rsidR="005D2237" w:rsidRPr="007D4299" w:rsidRDefault="007F7828" w:rsidP="00401430">
      <w:pPr>
        <w:pStyle w:val="Hesber"/>
        <w:rPr>
          <w:rtl/>
        </w:rPr>
      </w:pPr>
      <w:r w:rsidRPr="007D4299">
        <w:rPr>
          <w:rFonts w:hint="cs"/>
          <w:rtl/>
        </w:rPr>
        <w:t xml:space="preserve">פעמים רבות הדואר הרשום אינו מגיע ליעדו מסיבות שונות, </w:t>
      </w:r>
      <w:r w:rsidR="002A2E53" w:rsidRPr="007D4299">
        <w:rPr>
          <w:rFonts w:hint="cs"/>
          <w:rtl/>
        </w:rPr>
        <w:t xml:space="preserve">שקשה </w:t>
      </w:r>
      <w:proofErr w:type="spellStart"/>
      <w:r w:rsidR="002A2E53" w:rsidRPr="007D4299">
        <w:rPr>
          <w:rFonts w:hint="cs"/>
          <w:rtl/>
        </w:rPr>
        <w:t>להוכיחן</w:t>
      </w:r>
      <w:proofErr w:type="spellEnd"/>
      <w:r w:rsidR="002A2E53" w:rsidRPr="007D4299">
        <w:rPr>
          <w:rFonts w:hint="cs"/>
          <w:rtl/>
        </w:rPr>
        <w:t xml:space="preserve">, </w:t>
      </w:r>
      <w:r w:rsidR="00116F84" w:rsidRPr="007D4299">
        <w:rPr>
          <w:rFonts w:hint="cs"/>
          <w:rtl/>
        </w:rPr>
        <w:t xml:space="preserve">ולאור התקנה לעיל </w:t>
      </w:r>
      <w:r w:rsidRPr="007D4299">
        <w:rPr>
          <w:rFonts w:hint="cs"/>
          <w:rtl/>
        </w:rPr>
        <w:t xml:space="preserve">גם בלא חתימה על אישור המסירה יראו בעצם שליחת ההזמנה למשפט </w:t>
      </w:r>
      <w:r w:rsidR="00116F84" w:rsidRPr="007D4299">
        <w:rPr>
          <w:rFonts w:hint="cs"/>
          <w:rtl/>
        </w:rPr>
        <w:t xml:space="preserve">כאילו </w:t>
      </w:r>
      <w:r w:rsidRPr="007D4299">
        <w:rPr>
          <w:rFonts w:hint="cs"/>
          <w:rtl/>
        </w:rPr>
        <w:t>הומצאה כדין.</w:t>
      </w:r>
      <w:r w:rsidR="00116F84" w:rsidRPr="007D4299">
        <w:rPr>
          <w:rFonts w:hint="cs"/>
          <w:rtl/>
        </w:rPr>
        <w:t xml:space="preserve"> ב</w:t>
      </w:r>
      <w:r w:rsidR="00BF07F8">
        <w:rPr>
          <w:rFonts w:hint="cs"/>
          <w:rtl/>
        </w:rPr>
        <w:t xml:space="preserve">מצב כזה, </w:t>
      </w:r>
      <w:r w:rsidR="00116F84" w:rsidRPr="007D4299">
        <w:rPr>
          <w:rFonts w:hint="cs"/>
          <w:rtl/>
        </w:rPr>
        <w:t>ביום הדיון יתקיים המשפט בהיעדרו של הנאשם,</w:t>
      </w:r>
      <w:r w:rsidR="002A2E53" w:rsidRPr="007D4299">
        <w:rPr>
          <w:rFonts w:hint="cs"/>
          <w:rtl/>
        </w:rPr>
        <w:t xml:space="preserve"> שכן לא ידע על קיומו, ויראו בו</w:t>
      </w:r>
      <w:r w:rsidR="002A2E53" w:rsidRPr="007D4299">
        <w:rPr>
          <w:rtl/>
        </w:rPr>
        <w:t xml:space="preserve"> כמודה</w:t>
      </w:r>
      <w:r w:rsidR="005D2237" w:rsidRPr="007D4299">
        <w:rPr>
          <w:rtl/>
        </w:rPr>
        <w:t xml:space="preserve"> בכל העובדות שנטענו בכתב האישום</w:t>
      </w:r>
      <w:r w:rsidR="005D2237" w:rsidRPr="007D4299">
        <w:rPr>
          <w:rFonts w:hint="cs"/>
          <w:rtl/>
        </w:rPr>
        <w:t xml:space="preserve">. </w:t>
      </w:r>
      <w:r w:rsidR="00116F84" w:rsidRPr="007D4299">
        <w:rPr>
          <w:rFonts w:hint="cs"/>
          <w:rtl/>
        </w:rPr>
        <w:t>כאשר מדובר בעבירת קנס עליה ביקש הנאשם באופן אקטיבי להי</w:t>
      </w:r>
      <w:r w:rsidR="00C71A54" w:rsidRPr="007D4299">
        <w:rPr>
          <w:rFonts w:hint="cs"/>
          <w:rtl/>
        </w:rPr>
        <w:t>שפט, מדובר בפגיעה חמורה אף יותר,</w:t>
      </w:r>
      <w:r w:rsidR="00116F84" w:rsidRPr="007D4299">
        <w:rPr>
          <w:rFonts w:hint="cs"/>
          <w:rtl/>
        </w:rPr>
        <w:t xml:space="preserve"> שכן עמדה בפניו ברירת המחדל לתשלום הקנס, אך </w:t>
      </w:r>
      <w:r w:rsidR="00401430">
        <w:rPr>
          <w:rFonts w:hint="cs"/>
          <w:rtl/>
        </w:rPr>
        <w:t xml:space="preserve">הוא </w:t>
      </w:r>
      <w:r w:rsidR="00116F84" w:rsidRPr="007D4299">
        <w:rPr>
          <w:rFonts w:hint="cs"/>
          <w:rtl/>
        </w:rPr>
        <w:t>ביקש באופן יזום להישפט על העבירה.</w:t>
      </w:r>
    </w:p>
    <w:p w14:paraId="5C50F3CC" w14:textId="71AAC592" w:rsidR="005D2237" w:rsidRPr="007D4299" w:rsidRDefault="005D2237" w:rsidP="00195CA5">
      <w:pPr>
        <w:pStyle w:val="Hesber"/>
        <w:rPr>
          <w:rtl/>
        </w:rPr>
      </w:pPr>
      <w:r w:rsidRPr="007D4299">
        <w:rPr>
          <w:rFonts w:hint="cs"/>
          <w:rtl/>
        </w:rPr>
        <w:t xml:space="preserve">תקנה 42א לתקנות קובעת כי </w:t>
      </w:r>
      <w:r w:rsidRPr="007D4299">
        <w:rPr>
          <w:rtl/>
        </w:rPr>
        <w:t>הודעה על ב</w:t>
      </w:r>
      <w:r w:rsidR="00362C06">
        <w:rPr>
          <w:rtl/>
        </w:rPr>
        <w:t>קשה להישפט לפי סעיף 229(א) לחוק</w:t>
      </w:r>
      <w:r w:rsidRPr="007D4299">
        <w:rPr>
          <w:rtl/>
        </w:rPr>
        <w:t xml:space="preserve"> תהיה על גבי הספח שבטופס 8א שבתוספת</w:t>
      </w:r>
      <w:r w:rsidRPr="007D4299">
        <w:rPr>
          <w:rFonts w:hint="cs"/>
          <w:rtl/>
        </w:rPr>
        <w:t xml:space="preserve">. כיום הספח אינו כולל סעיף בו מציין המבקש את מספר הטלפון הנייד שלו. </w:t>
      </w:r>
      <w:r w:rsidR="00195CA5">
        <w:rPr>
          <w:rFonts w:hint="cs"/>
          <w:rtl/>
        </w:rPr>
        <w:t>מומלץ</w:t>
      </w:r>
      <w:r w:rsidRPr="007D4299">
        <w:rPr>
          <w:rFonts w:hint="cs"/>
          <w:rtl/>
        </w:rPr>
        <w:t xml:space="preserve"> כי הספח יתוקן באופן שיכיל</w:t>
      </w:r>
      <w:r w:rsidR="00AD4496" w:rsidRPr="007D4299">
        <w:rPr>
          <w:rFonts w:hint="cs"/>
          <w:rtl/>
        </w:rPr>
        <w:t xml:space="preserve"> סעיף שכזה, דבר שי</w:t>
      </w:r>
      <w:r w:rsidRPr="007D4299">
        <w:rPr>
          <w:rFonts w:hint="cs"/>
          <w:rtl/>
        </w:rPr>
        <w:t xml:space="preserve">קל על התקשרות עם הנאשם ויסייע למימוש המוצע בהצעת החוק. </w:t>
      </w:r>
    </w:p>
    <w:p w14:paraId="3DCA1D5E" w14:textId="08588D04" w:rsidR="00024734" w:rsidRPr="007D4299" w:rsidRDefault="00986C8C" w:rsidP="00401430">
      <w:pPr>
        <w:pStyle w:val="Hesber"/>
        <w:rPr>
          <w:rtl/>
        </w:rPr>
      </w:pPr>
      <w:r w:rsidRPr="007D4299">
        <w:rPr>
          <w:rFonts w:hint="cs"/>
          <w:rtl/>
        </w:rPr>
        <w:t xml:space="preserve">לפיכך </w:t>
      </w:r>
      <w:r w:rsidR="008D596D" w:rsidRPr="007D4299">
        <w:rPr>
          <w:rFonts w:hint="cs"/>
          <w:rtl/>
        </w:rPr>
        <w:t xml:space="preserve">מוצע לקבוע כי אם </w:t>
      </w:r>
      <w:r w:rsidR="00024734" w:rsidRPr="007D4299">
        <w:rPr>
          <w:rFonts w:hint="cs"/>
          <w:rtl/>
        </w:rPr>
        <w:t xml:space="preserve">מספר הטלפון הנייד של הנאשם היה בידי </w:t>
      </w:r>
      <w:r w:rsidR="005D2237" w:rsidRPr="007D4299">
        <w:rPr>
          <w:rFonts w:hint="cs"/>
          <w:rtl/>
        </w:rPr>
        <w:t xml:space="preserve">בית </w:t>
      </w:r>
      <w:r w:rsidR="00024734" w:rsidRPr="007D4299">
        <w:rPr>
          <w:rFonts w:hint="cs"/>
          <w:rtl/>
        </w:rPr>
        <w:t xml:space="preserve">המשפט </w:t>
      </w:r>
      <w:r w:rsidR="00401430">
        <w:rPr>
          <w:rFonts w:hint="cs"/>
          <w:rtl/>
        </w:rPr>
        <w:t>בעקבות</w:t>
      </w:r>
      <w:r w:rsidR="00024734" w:rsidRPr="007D4299">
        <w:rPr>
          <w:rFonts w:hint="cs"/>
          <w:rtl/>
        </w:rPr>
        <w:t xml:space="preserve"> קבלת טופס 8</w:t>
      </w:r>
      <w:r w:rsidR="005D2237" w:rsidRPr="007D4299">
        <w:rPr>
          <w:rFonts w:hint="cs"/>
          <w:rtl/>
        </w:rPr>
        <w:t>א</w:t>
      </w:r>
      <w:r w:rsidR="00024734" w:rsidRPr="007D4299">
        <w:rPr>
          <w:rFonts w:hint="cs"/>
          <w:rtl/>
        </w:rPr>
        <w:t xml:space="preserve"> שבתוספת</w:t>
      </w:r>
      <w:r w:rsidR="00401430">
        <w:rPr>
          <w:rFonts w:hint="cs"/>
          <w:rtl/>
        </w:rPr>
        <w:t xml:space="preserve"> הכולל מידע זה,</w:t>
      </w:r>
      <w:r w:rsidR="005D2237" w:rsidRPr="007D4299">
        <w:rPr>
          <w:rFonts w:hint="cs"/>
          <w:rtl/>
        </w:rPr>
        <w:t xml:space="preserve"> ובין אם התקבל</w:t>
      </w:r>
      <w:r w:rsidR="00024734" w:rsidRPr="007D4299">
        <w:rPr>
          <w:rFonts w:hint="cs"/>
          <w:rtl/>
        </w:rPr>
        <w:t xml:space="preserve"> במ</w:t>
      </w:r>
      <w:r w:rsidR="007F7828" w:rsidRPr="007D4299">
        <w:rPr>
          <w:rFonts w:hint="cs"/>
          <w:rtl/>
        </w:rPr>
        <w:t>סגרת איתור המידע אודותיו כאמור, יודיע בית המשפט</w:t>
      </w:r>
      <w:r w:rsidR="00024734" w:rsidRPr="007D4299">
        <w:rPr>
          <w:rFonts w:hint="cs"/>
          <w:rtl/>
        </w:rPr>
        <w:t xml:space="preserve"> לנאשם על הזמנה למשפט נגדו באמצעות ש</w:t>
      </w:r>
      <w:r w:rsidR="00AD4496" w:rsidRPr="007D4299">
        <w:rPr>
          <w:rFonts w:hint="cs"/>
          <w:rtl/>
        </w:rPr>
        <w:t xml:space="preserve">ליחת מסרון. הודעת המסרון תכלול את פרטי תיק בית המשפט בעניינו של הנאשם, כתובת בית המשפט, תאריך הדיון והשעה </w:t>
      </w:r>
      <w:r w:rsidR="00362C06">
        <w:rPr>
          <w:rFonts w:hint="cs"/>
          <w:rtl/>
        </w:rPr>
        <w:t>ש</w:t>
      </w:r>
      <w:r w:rsidR="00AD4496" w:rsidRPr="007D4299">
        <w:rPr>
          <w:rFonts w:hint="cs"/>
          <w:rtl/>
        </w:rPr>
        <w:t>בו יתקיים.</w:t>
      </w:r>
    </w:p>
    <w:p w14:paraId="7F6961CB" w14:textId="3CBAA4E3" w:rsidR="00E13C27" w:rsidRDefault="00024734" w:rsidP="00BF07F8">
      <w:pPr>
        <w:pStyle w:val="Hesber"/>
        <w:rPr>
          <w:rtl/>
        </w:rPr>
      </w:pPr>
      <w:r w:rsidRPr="007D4299">
        <w:rPr>
          <w:rFonts w:hint="cs"/>
          <w:rtl/>
        </w:rPr>
        <w:t>באמצ</w:t>
      </w:r>
      <w:r w:rsidR="008D596D" w:rsidRPr="007D4299">
        <w:rPr>
          <w:rFonts w:hint="cs"/>
          <w:rtl/>
        </w:rPr>
        <w:t xml:space="preserve">עות המסרון יגבר הסיכוי שלנאשם </w:t>
      </w:r>
      <w:r w:rsidR="00AD4496" w:rsidRPr="007D4299">
        <w:rPr>
          <w:rFonts w:hint="cs"/>
          <w:rtl/>
        </w:rPr>
        <w:t>י</w:t>
      </w:r>
      <w:r w:rsidR="008D596D" w:rsidRPr="007D4299">
        <w:rPr>
          <w:rFonts w:hint="cs"/>
          <w:rtl/>
        </w:rPr>
        <w:t>יו</w:t>
      </w:r>
      <w:r w:rsidRPr="007D4299">
        <w:rPr>
          <w:rFonts w:hint="cs"/>
          <w:rtl/>
        </w:rPr>
        <w:t>ודע אודות הדיון והזמנתו</w:t>
      </w:r>
      <w:r w:rsidR="007F7828" w:rsidRPr="007D4299">
        <w:rPr>
          <w:rFonts w:hint="cs"/>
          <w:rtl/>
        </w:rPr>
        <w:t>, מה</w:t>
      </w:r>
      <w:r w:rsidRPr="007D4299">
        <w:rPr>
          <w:rFonts w:hint="cs"/>
          <w:rtl/>
        </w:rPr>
        <w:t xml:space="preserve"> </w:t>
      </w:r>
      <w:r w:rsidR="007F7828" w:rsidRPr="007D4299">
        <w:rPr>
          <w:rFonts w:hint="cs"/>
          <w:rtl/>
        </w:rPr>
        <w:t>ש</w:t>
      </w:r>
      <w:r w:rsidRPr="007D4299">
        <w:rPr>
          <w:rFonts w:hint="cs"/>
          <w:rtl/>
        </w:rPr>
        <w:t>י</w:t>
      </w:r>
      <w:r w:rsidR="008D596D" w:rsidRPr="007D4299">
        <w:rPr>
          <w:rFonts w:hint="cs"/>
          <w:rtl/>
        </w:rPr>
        <w:t>א</w:t>
      </w:r>
      <w:r w:rsidR="00AD4496" w:rsidRPr="007D4299">
        <w:rPr>
          <w:rFonts w:hint="cs"/>
          <w:rtl/>
        </w:rPr>
        <w:t>פשר לו להתייצב ולהוכיח את חפותו</w:t>
      </w:r>
      <w:r w:rsidRPr="007D4299">
        <w:rPr>
          <w:rFonts w:hint="cs"/>
          <w:rtl/>
        </w:rPr>
        <w:t>. הצעת חוק זו מטרתה להרחיב את חזקת המסירה וזאת בהמשך לקביעת בתי המשפט לחשיבותה של חזקת המסירה וקביעת סדרי דין מקלים יותר בעבירות קנס, הנ</w:t>
      </w:r>
      <w:r w:rsidR="001F11E2">
        <w:rPr>
          <w:rFonts w:hint="cs"/>
          <w:rtl/>
        </w:rPr>
        <w:t>חשבות כעבירות קלות באופן יחסי.</w:t>
      </w:r>
    </w:p>
    <w:p w14:paraId="46082821" w14:textId="77777777" w:rsidR="001F11E2" w:rsidRPr="003C5528" w:rsidRDefault="001F11E2" w:rsidP="001F11E2">
      <w:pPr>
        <w:pStyle w:val="Hesber"/>
        <w:rPr>
          <w:rtl/>
        </w:rPr>
      </w:pPr>
      <w:r w:rsidRPr="003C5528">
        <w:rPr>
          <w:rtl/>
        </w:rPr>
        <w:t>---------------------------------</w:t>
      </w:r>
    </w:p>
    <w:p w14:paraId="41F84AD6" w14:textId="77777777" w:rsidR="001F11E2" w:rsidRPr="003C5528" w:rsidRDefault="001F11E2" w:rsidP="001F11E2">
      <w:pPr>
        <w:pStyle w:val="Hesber"/>
        <w:rPr>
          <w:rtl/>
        </w:rPr>
      </w:pPr>
      <w:r w:rsidRPr="003C5528">
        <w:rPr>
          <w:rFonts w:hint="cs"/>
          <w:rtl/>
        </w:rPr>
        <w:t>הוגשה</w:t>
      </w:r>
      <w:r w:rsidRPr="003C5528">
        <w:rPr>
          <w:rtl/>
        </w:rPr>
        <w:t xml:space="preserve"> </w:t>
      </w:r>
      <w:r w:rsidRPr="003C5528">
        <w:rPr>
          <w:rFonts w:hint="cs"/>
          <w:rtl/>
        </w:rPr>
        <w:t>ליו</w:t>
      </w:r>
      <w:r w:rsidRPr="003C5528">
        <w:rPr>
          <w:rtl/>
        </w:rPr>
        <w:t>"</w:t>
      </w:r>
      <w:r w:rsidRPr="003C5528">
        <w:rPr>
          <w:rFonts w:hint="cs"/>
          <w:rtl/>
        </w:rPr>
        <w:t>ר</w:t>
      </w:r>
      <w:r w:rsidRPr="003C5528">
        <w:rPr>
          <w:rtl/>
        </w:rPr>
        <w:t xml:space="preserve"> </w:t>
      </w:r>
      <w:r w:rsidRPr="003C5528">
        <w:rPr>
          <w:rFonts w:hint="cs"/>
          <w:rtl/>
        </w:rPr>
        <w:t>הכנסת</w:t>
      </w:r>
      <w:r w:rsidRPr="003C5528">
        <w:rPr>
          <w:rtl/>
        </w:rPr>
        <w:t xml:space="preserve"> </w:t>
      </w:r>
      <w:r w:rsidRPr="003C5528">
        <w:rPr>
          <w:rFonts w:hint="cs"/>
          <w:rtl/>
        </w:rPr>
        <w:t>והסגנים</w:t>
      </w:r>
    </w:p>
    <w:p w14:paraId="6D5BCD34" w14:textId="77777777" w:rsidR="001F11E2" w:rsidRPr="003C5528" w:rsidRDefault="001F11E2" w:rsidP="001F11E2">
      <w:pPr>
        <w:pStyle w:val="Hesber"/>
        <w:rPr>
          <w:rtl/>
        </w:rPr>
      </w:pPr>
      <w:r w:rsidRPr="003C5528">
        <w:rPr>
          <w:rFonts w:hint="cs"/>
          <w:rtl/>
        </w:rPr>
        <w:t>והונחה</w:t>
      </w:r>
      <w:r w:rsidRPr="003C5528">
        <w:rPr>
          <w:rtl/>
        </w:rPr>
        <w:t xml:space="preserve"> </w:t>
      </w:r>
      <w:r w:rsidRPr="003C5528">
        <w:rPr>
          <w:rFonts w:hint="cs"/>
          <w:rtl/>
        </w:rPr>
        <w:t>על</w:t>
      </w:r>
      <w:r w:rsidRPr="003C5528">
        <w:rPr>
          <w:rtl/>
        </w:rPr>
        <w:t xml:space="preserve"> </w:t>
      </w:r>
      <w:r w:rsidRPr="003C5528">
        <w:rPr>
          <w:rFonts w:hint="cs"/>
          <w:rtl/>
        </w:rPr>
        <w:t>שולחן</w:t>
      </w:r>
      <w:r w:rsidRPr="003C5528">
        <w:rPr>
          <w:rtl/>
        </w:rPr>
        <w:t xml:space="preserve"> </w:t>
      </w:r>
      <w:r w:rsidRPr="003C5528">
        <w:rPr>
          <w:rFonts w:hint="cs"/>
          <w:rtl/>
        </w:rPr>
        <w:t>הכנסת</w:t>
      </w:r>
      <w:r w:rsidRPr="003C5528">
        <w:rPr>
          <w:rtl/>
        </w:rPr>
        <w:t xml:space="preserve"> </w:t>
      </w:r>
      <w:r w:rsidRPr="003C5528">
        <w:rPr>
          <w:rFonts w:hint="cs"/>
          <w:rtl/>
        </w:rPr>
        <w:t>ביום</w:t>
      </w:r>
    </w:p>
    <w:p w14:paraId="75DC3F72" w14:textId="77777777" w:rsidR="001F11E2" w:rsidRPr="008B79B0" w:rsidRDefault="001F11E2" w:rsidP="001F11E2">
      <w:pPr>
        <w:pStyle w:val="Hesber"/>
        <w:rPr>
          <w:rtl/>
        </w:rPr>
      </w:pPr>
      <w:r>
        <w:rPr>
          <w:rFonts w:hint="cs"/>
          <w:rtl/>
        </w:rPr>
        <w:t>כ"ז באדר</w:t>
      </w:r>
      <w:r w:rsidRPr="003C5528">
        <w:rPr>
          <w:rtl/>
        </w:rPr>
        <w:t xml:space="preserve"> </w:t>
      </w:r>
      <w:proofErr w:type="spellStart"/>
      <w:r w:rsidRPr="003C5528">
        <w:rPr>
          <w:rFonts w:hint="cs"/>
          <w:rtl/>
        </w:rPr>
        <w:t>התשע</w:t>
      </w:r>
      <w:r w:rsidRPr="003C5528">
        <w:rPr>
          <w:rtl/>
        </w:rPr>
        <w:t>"</w:t>
      </w:r>
      <w:r>
        <w:rPr>
          <w:rFonts w:hint="cs"/>
          <w:rtl/>
        </w:rPr>
        <w:t>ח</w:t>
      </w:r>
      <w:proofErr w:type="spellEnd"/>
      <w:r w:rsidRPr="003C5528">
        <w:rPr>
          <w:rtl/>
        </w:rPr>
        <w:t xml:space="preserve"> – </w:t>
      </w:r>
      <w:r>
        <w:rPr>
          <w:rFonts w:hint="cs"/>
          <w:rtl/>
        </w:rPr>
        <w:t>14.3.2018</w:t>
      </w:r>
    </w:p>
    <w:p w14:paraId="5F54748D" w14:textId="77777777" w:rsidR="001F11E2" w:rsidRDefault="001F11E2" w:rsidP="00BF07F8">
      <w:pPr>
        <w:pStyle w:val="Hesber"/>
        <w:rPr>
          <w:rtl/>
        </w:rPr>
      </w:pPr>
    </w:p>
    <w:sectPr w:rsidR="001F11E2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A17A43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370CFEC9" w14:textId="77777777" w:rsidR="00024734" w:rsidRDefault="00024734" w:rsidP="00024734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התשמ"ב</w:t>
      </w:r>
      <w:proofErr w:type="spellEnd"/>
      <w:r>
        <w:rPr>
          <w:rFonts w:hint="cs"/>
          <w:rtl/>
        </w:rPr>
        <w:t>, עמ' 43.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039B4"/>
    <w:rsid w:val="00015B27"/>
    <w:rsid w:val="00024734"/>
    <w:rsid w:val="00063A3E"/>
    <w:rsid w:val="00072CAC"/>
    <w:rsid w:val="0007681A"/>
    <w:rsid w:val="000A542E"/>
    <w:rsid w:val="00102B6B"/>
    <w:rsid w:val="001052D4"/>
    <w:rsid w:val="0010644B"/>
    <w:rsid w:val="00116F84"/>
    <w:rsid w:val="001207F8"/>
    <w:rsid w:val="00121924"/>
    <w:rsid w:val="001279A8"/>
    <w:rsid w:val="0014195F"/>
    <w:rsid w:val="00152609"/>
    <w:rsid w:val="00153E1B"/>
    <w:rsid w:val="00195CA5"/>
    <w:rsid w:val="001A0623"/>
    <w:rsid w:val="001C23B0"/>
    <w:rsid w:val="001D7AAF"/>
    <w:rsid w:val="001F11E2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017B"/>
    <w:rsid w:val="002A2E53"/>
    <w:rsid w:val="002A487D"/>
    <w:rsid w:val="002C2E29"/>
    <w:rsid w:val="002C3041"/>
    <w:rsid w:val="002D1EE3"/>
    <w:rsid w:val="002F1D80"/>
    <w:rsid w:val="0030780B"/>
    <w:rsid w:val="003232A2"/>
    <w:rsid w:val="00325C14"/>
    <w:rsid w:val="00362C06"/>
    <w:rsid w:val="0036422C"/>
    <w:rsid w:val="003710F6"/>
    <w:rsid w:val="00386E88"/>
    <w:rsid w:val="00396585"/>
    <w:rsid w:val="003D6E38"/>
    <w:rsid w:val="003D74A0"/>
    <w:rsid w:val="0040143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2237"/>
    <w:rsid w:val="005D51AE"/>
    <w:rsid w:val="0062674B"/>
    <w:rsid w:val="006363B2"/>
    <w:rsid w:val="00644940"/>
    <w:rsid w:val="006641DA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C3FA6"/>
    <w:rsid w:val="007D4299"/>
    <w:rsid w:val="007D585A"/>
    <w:rsid w:val="007D5A12"/>
    <w:rsid w:val="007E59F9"/>
    <w:rsid w:val="007F7828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D596D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86C8C"/>
    <w:rsid w:val="009A0DB8"/>
    <w:rsid w:val="009A7257"/>
    <w:rsid w:val="009D6E0A"/>
    <w:rsid w:val="009E03FE"/>
    <w:rsid w:val="009E1E33"/>
    <w:rsid w:val="00A02000"/>
    <w:rsid w:val="00A14672"/>
    <w:rsid w:val="00A17A43"/>
    <w:rsid w:val="00A26BD6"/>
    <w:rsid w:val="00A443CF"/>
    <w:rsid w:val="00A6611D"/>
    <w:rsid w:val="00A82CB7"/>
    <w:rsid w:val="00A942C1"/>
    <w:rsid w:val="00AA2F03"/>
    <w:rsid w:val="00AB17AE"/>
    <w:rsid w:val="00AC36F7"/>
    <w:rsid w:val="00AC63A4"/>
    <w:rsid w:val="00AD239E"/>
    <w:rsid w:val="00AD4496"/>
    <w:rsid w:val="00B10265"/>
    <w:rsid w:val="00B16A99"/>
    <w:rsid w:val="00B21211"/>
    <w:rsid w:val="00B35784"/>
    <w:rsid w:val="00B733A7"/>
    <w:rsid w:val="00B75C91"/>
    <w:rsid w:val="00B975AD"/>
    <w:rsid w:val="00BC3880"/>
    <w:rsid w:val="00BC45FB"/>
    <w:rsid w:val="00BF07F8"/>
    <w:rsid w:val="00BF148D"/>
    <w:rsid w:val="00C14CE7"/>
    <w:rsid w:val="00C23B1A"/>
    <w:rsid w:val="00C310EB"/>
    <w:rsid w:val="00C71A54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E237E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F95E5-5ED5-4A58-93B9-012E48063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32BE94-7617-4D5A-8288-89C3E5B5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582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אילת וולברג</cp:lastModifiedBy>
  <cp:revision>21</cp:revision>
  <cp:lastPrinted>2018-03-11T11:58:00Z</cp:lastPrinted>
  <dcterms:created xsi:type="dcterms:W3CDTF">2015-04-20T09:58:00Z</dcterms:created>
  <dcterms:modified xsi:type="dcterms:W3CDTF">2018-03-13T12:23:00Z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2065890</vt:r8>
  </property>
</Properties>
</file>