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564779</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עליזה לביא</w:t>
      </w:r>
      <w:r>
        <w:br/>
      </w:r>
      <w:r>
        <w:rPr>
          <w:rFonts w:hint="cs"/>
          <w:b/>
          <w:bCs/>
          <w:rtl/>
        </w:rPr>
        <w:t xml:space="preserve"> </w:t>
      </w:r>
      <w:r>
        <w:tab/>
      </w:r>
      <w:r>
        <w:tab/>
      </w:r>
      <w:r>
        <w:tab/>
      </w:r>
      <w:r>
        <w:tab/>
      </w:r>
      <w:r>
        <w:rPr>
          <w:rFonts w:hint="cs"/>
          <w:b/>
          <w:bCs/>
          <w:rtl/>
        </w:rPr>
        <w:t>איציק שמולי</w:t>
      </w:r>
      <w:r>
        <w:br/>
      </w:r>
      <w:r>
        <w:rPr>
          <w:rFonts w:hint="cs"/>
          <w:b/>
          <w:bCs/>
          <w:rtl/>
        </w:rPr>
        <w:t xml:space="preserve"> </w:t>
      </w:r>
      <w:r>
        <w:tab/>
      </w:r>
      <w:r>
        <w:tab/>
      </w:r>
      <w:r>
        <w:tab/>
      </w:r>
      <w:r>
        <w:tab/>
      </w:r>
      <w:r>
        <w:rPr>
          <w:rFonts w:hint="cs"/>
          <w:b/>
          <w:bCs/>
          <w:rtl/>
        </w:rPr>
        <w:t>זוהיר בהלול</w:t>
      </w:r>
      <w:r>
        <w:br/>
      </w:r>
      <w:r>
        <w:rPr>
          <w:rFonts w:hint="cs"/>
          <w:b/>
          <w:bCs/>
          <w:rtl/>
        </w:rPr>
        <w:t xml:space="preserve"> </w:t>
      </w:r>
      <w:r>
        <w:tab/>
      </w:r>
      <w:r>
        <w:tab/>
      </w:r>
      <w:r>
        <w:tab/>
      </w:r>
      <w:r>
        <w:tab/>
      </w:r>
      <w:r>
        <w:rPr>
          <w:rFonts w:hint="cs"/>
          <w:b/>
          <w:bCs/>
          <w:rtl/>
        </w:rPr>
        <w:t>מיכל רוזין</w:t>
      </w:r>
      <w:r>
        <w:br/>
      </w:r>
      <w:r>
        <w:rPr>
          <w:rFonts w:hint="cs"/>
          <w:b/>
          <w:bCs/>
          <w:rtl/>
        </w:rPr>
        <w:t xml:space="preserve"> </w:t>
      </w:r>
      <w:r>
        <w:tab/>
      </w:r>
      <w:r>
        <w:tab/>
      </w:r>
      <w:r>
        <w:tab/>
      </w:r>
      <w:r>
        <w:tab/>
      </w:r>
      <w:r>
        <w:rPr>
          <w:rFonts w:hint="cs"/>
          <w:b/>
          <w:bCs/>
          <w:rtl/>
        </w:rPr>
        <w:t>מירב בן ארי</w:t>
      </w:r>
      <w:r>
        <w:br/>
      </w:r>
      <w:r>
        <w:rPr>
          <w:rFonts w:hint="cs"/>
          <w:b/>
          <w:bCs/>
          <w:rtl/>
        </w:rPr>
        <w:t xml:space="preserve"> </w:t>
      </w:r>
      <w:r>
        <w:tab/>
      </w:r>
      <w:r>
        <w:tab/>
      </w:r>
      <w:r>
        <w:tab/>
      </w:r>
      <w:r>
        <w:tab/>
      </w:r>
      <w:r>
        <w:rPr>
          <w:rFonts w:hint="cs"/>
          <w:b/>
          <w:bCs/>
          <w:rtl/>
        </w:rPr>
        <w:t>אורן אסף חזן</w:t>
      </w:r>
      <w:r>
        <w:br/>
      </w:r>
      <w:r>
        <w:rPr>
          <w:rFonts w:hint="cs"/>
          <w:b/>
          <w:bCs/>
          <w:rtl/>
        </w:rPr>
        <w:t xml:space="preserve"> </w:t>
      </w:r>
      <w:r>
        <w:tab/>
      </w:r>
      <w:r>
        <w:tab/>
      </w:r>
      <w:r>
        <w:tab/>
      </w:r>
      <w:r>
        <w:tab/>
      </w:r>
      <w:r>
        <w:rPr>
          <w:rFonts w:hint="cs"/>
          <w:b/>
          <w:bCs/>
          <w:rtl/>
        </w:rPr>
        <w:t>נורית קורן</w:t>
      </w:r>
      <w:r>
        <w:br/>
      </w:r>
      <w:r>
        <w:rPr>
          <w:rFonts w:hint="cs"/>
          <w:b/>
          <w:bCs/>
          <w:rtl/>
        </w:rPr>
        <w:t xml:space="preserve"> </w:t>
      </w:r>
      <w:r>
        <w:tab/>
      </w:r>
      <w:r>
        <w:tab/>
      </w:r>
      <w:r>
        <w:tab/>
      </w:r>
      <w:r>
        <w:tab/>
      </w:r>
      <w:r>
        <w:rPr>
          <w:rFonts w:hint="cs"/>
          <w:b/>
          <w:bCs/>
          <w:rtl/>
        </w:rPr>
        <w:t>טלי פלוסקוב</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C" w14:textId="6A41B5D8" w:rsidR="00E13C27" w:rsidRDefault="00904591" w:rsidP="00963B75">
      <w:pPr>
        <w:pStyle w:val="David"/>
        <w:spacing w:before="0" w:line="240" w:lineRule="auto"/>
        <w:ind w:left="3544"/>
        <w:rPr>
          <w:rtl/>
        </w:rPr>
      </w:pPr>
      <w:r>
        <w:t xml:space="preserve">                                            </w:t>
      </w:r>
      <w:r w:rsidR="008F1308">
        <w:t xml:space="preserve"> </w:t>
      </w:r>
      <w:bookmarkStart w:id="6" w:name="Private_Number"/>
      <w:r>
        <w:rPr>
          <w:rFonts w:hint="cs"/>
          <w:rtl/>
        </w:rPr>
        <w:t>פ/1932/20</w:t>
      </w:r>
      <w:bookmarkEnd w:id="6"/>
    </w:p>
    <w:p w14:paraId="7F6961AD" w14:textId="27D73A0C" w:rsidR="00E13C27" w:rsidRPr="00F67051" w:rsidRDefault="00A443CF" w:rsidP="00963B75">
      <w:pPr>
        <w:pStyle w:val="HeadHatzaotHok"/>
        <w:rPr>
          <w:rtl/>
        </w:rPr>
      </w:pPr>
      <w:bookmarkStart w:id="7" w:name="LGS_Subject"/>
      <w:r>
        <w:rPr>
          <w:rFonts w:hint="cs"/>
          <w:rtl/>
        </w:rPr>
        <w:t>הצעת חוק לתיקון פקודת מס הכנסה (ניכוי בגין הוצאות טיפול בילדים), התשע"ה</w:t>
      </w:r>
      <w:r w:rsidR="00963B75">
        <w:rPr>
          <w:rFonts w:hint="eastAsia"/>
          <w:rtl/>
        </w:rPr>
        <w:t>–</w:t>
      </w:r>
      <w:r>
        <w:rPr>
          <w:rFonts w:hint="cs"/>
          <w:rtl/>
        </w:rPr>
        <w:t>2015</w:t>
      </w:r>
      <w:bookmarkEnd w:id="7"/>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155145" w14:paraId="035EEF3D" w14:textId="77777777" w:rsidTr="00FE65A4">
        <w:trPr>
          <w:cantSplit/>
          <w:trHeight w:val="60"/>
        </w:trPr>
        <w:tc>
          <w:tcPr>
            <w:tcW w:w="1871" w:type="dxa"/>
          </w:tcPr>
          <w:p w14:paraId="3863FF98" w14:textId="5073A2DA" w:rsidR="00155145" w:rsidRDefault="007353C3" w:rsidP="002C3041">
            <w:pPr>
              <w:pStyle w:val="TableSideHeading"/>
              <w:keepLines w:val="0"/>
            </w:pPr>
            <w:r>
              <w:rPr>
                <w:sz w:val="26"/>
                <w:rtl/>
              </w:rPr>
              <w:t>תיקון</w:t>
            </w:r>
            <w:r w:rsidR="00155145">
              <w:rPr>
                <w:sz w:val="26"/>
                <w:rtl/>
              </w:rPr>
              <w:t xml:space="preserve"> סעיף 17</w:t>
            </w:r>
          </w:p>
        </w:tc>
        <w:tc>
          <w:tcPr>
            <w:tcW w:w="624" w:type="dxa"/>
          </w:tcPr>
          <w:p w14:paraId="6F513EF6" w14:textId="2FE18E28" w:rsidR="00155145" w:rsidRDefault="008E415C" w:rsidP="002C3041">
            <w:pPr>
              <w:pStyle w:val="TableText"/>
              <w:keepLines w:val="0"/>
            </w:pPr>
            <w:r>
              <w:rPr>
                <w:rFonts w:hint="cs"/>
                <w:sz w:val="26"/>
                <w:rtl/>
              </w:rPr>
              <w:t>1.</w:t>
            </w:r>
          </w:p>
        </w:tc>
        <w:tc>
          <w:tcPr>
            <w:tcW w:w="7146" w:type="dxa"/>
            <w:gridSpan w:val="3"/>
          </w:tcPr>
          <w:p w14:paraId="1AE94DEB" w14:textId="36EDABED" w:rsidR="00155145" w:rsidRPr="00BE1165" w:rsidRDefault="00155145" w:rsidP="00BE1165">
            <w:pPr>
              <w:pStyle w:val="TableHead"/>
              <w:keepLines w:val="0"/>
              <w:jc w:val="left"/>
              <w:rPr>
                <w:b w:val="0"/>
                <w:bCs w:val="0"/>
              </w:rPr>
            </w:pPr>
            <w:r w:rsidRPr="00BE1165">
              <w:rPr>
                <w:b w:val="0"/>
                <w:bCs w:val="0"/>
                <w:sz w:val="26"/>
                <w:rtl/>
              </w:rPr>
              <w:t>בפקודת מס הכנסה</w:t>
            </w:r>
            <w:r w:rsidRPr="00BE1165">
              <w:rPr>
                <w:rStyle w:val="a5"/>
                <w:b w:val="0"/>
                <w:bCs w:val="0"/>
                <w:sz w:val="26"/>
                <w:rtl/>
              </w:rPr>
              <w:footnoteReference w:id="2"/>
            </w:r>
            <w:r w:rsidRPr="00BE1165">
              <w:rPr>
                <w:b w:val="0"/>
                <w:bCs w:val="0"/>
                <w:sz w:val="26"/>
                <w:rtl/>
              </w:rPr>
              <w:t xml:space="preserve"> (להלן </w:t>
            </w:r>
            <w:r w:rsidRPr="00BE1165">
              <w:rPr>
                <w:rFonts w:hint="cs"/>
                <w:b w:val="0"/>
                <w:bCs w:val="0"/>
                <w:sz w:val="26"/>
                <w:rtl/>
              </w:rPr>
              <w:t>–</w:t>
            </w:r>
            <w:r w:rsidRPr="00BE1165">
              <w:rPr>
                <w:b w:val="0"/>
                <w:bCs w:val="0"/>
                <w:sz w:val="26"/>
                <w:rtl/>
              </w:rPr>
              <w:t xml:space="preserve"> הפקודה), בסעיף 17, אחרי פסקה (</w:t>
            </w:r>
            <w:r w:rsidRPr="00BE1165">
              <w:rPr>
                <w:rFonts w:hint="cs"/>
                <w:b w:val="0"/>
                <w:bCs w:val="0"/>
                <w:sz w:val="26"/>
                <w:rtl/>
              </w:rPr>
              <w:t>15</w:t>
            </w:r>
            <w:r w:rsidRPr="00BE1165">
              <w:rPr>
                <w:b w:val="0"/>
                <w:bCs w:val="0"/>
                <w:sz w:val="26"/>
                <w:rtl/>
              </w:rPr>
              <w:t>) יבוא:</w:t>
            </w:r>
          </w:p>
        </w:tc>
      </w:tr>
      <w:tr w:rsidR="008E415C" w14:paraId="48DCBFF8" w14:textId="77777777" w:rsidTr="00CC4EBA">
        <w:trPr>
          <w:cantSplit/>
          <w:trHeight w:val="60"/>
        </w:trPr>
        <w:tc>
          <w:tcPr>
            <w:tcW w:w="1871" w:type="dxa"/>
          </w:tcPr>
          <w:p w14:paraId="7C3AA099" w14:textId="5C8AE81C" w:rsidR="008E415C" w:rsidRDefault="008E415C">
            <w:pPr>
              <w:pStyle w:val="TableSideHeading"/>
            </w:pPr>
          </w:p>
        </w:tc>
        <w:tc>
          <w:tcPr>
            <w:tcW w:w="624" w:type="dxa"/>
          </w:tcPr>
          <w:p w14:paraId="70301486" w14:textId="77777777" w:rsidR="008E415C" w:rsidRDefault="008E415C">
            <w:pPr>
              <w:pStyle w:val="TableText"/>
            </w:pPr>
          </w:p>
        </w:tc>
        <w:tc>
          <w:tcPr>
            <w:tcW w:w="624" w:type="dxa"/>
          </w:tcPr>
          <w:p w14:paraId="7F905E20" w14:textId="5A144D78" w:rsidR="008E415C" w:rsidRDefault="008E415C">
            <w:pPr>
              <w:pStyle w:val="TableText"/>
            </w:pPr>
            <w:r>
              <w:rPr>
                <w:rFonts w:hint="cs"/>
                <w:sz w:val="26"/>
                <w:rtl/>
              </w:rPr>
              <w:t>"</w:t>
            </w:r>
            <w:r>
              <w:rPr>
                <w:sz w:val="26"/>
                <w:rtl/>
              </w:rPr>
              <w:t>(</w:t>
            </w:r>
            <w:r>
              <w:rPr>
                <w:rFonts w:hint="cs"/>
                <w:sz w:val="26"/>
                <w:rtl/>
              </w:rPr>
              <w:t>16</w:t>
            </w:r>
            <w:r>
              <w:rPr>
                <w:sz w:val="26"/>
                <w:rtl/>
              </w:rPr>
              <w:t>)</w:t>
            </w:r>
          </w:p>
        </w:tc>
        <w:tc>
          <w:tcPr>
            <w:tcW w:w="6522" w:type="dxa"/>
            <w:gridSpan w:val="2"/>
          </w:tcPr>
          <w:p w14:paraId="71AB049C" w14:textId="09FA42AD" w:rsidR="008E415C" w:rsidRDefault="008E415C" w:rsidP="0007356C">
            <w:pPr>
              <w:pStyle w:val="TableBlock"/>
            </w:pPr>
            <w:r w:rsidRPr="008D683B">
              <w:rPr>
                <w:rtl/>
              </w:rPr>
              <w:t>(א)</w:t>
            </w:r>
            <w:r>
              <w:rPr>
                <w:rFonts w:hint="cs"/>
                <w:sz w:val="26"/>
                <w:rtl/>
              </w:rPr>
              <w:tab/>
            </w:r>
            <w:r>
              <w:rPr>
                <w:sz w:val="26"/>
                <w:rtl/>
              </w:rPr>
              <w:t>סכומים ששילמ</w:t>
            </w:r>
            <w:r>
              <w:rPr>
                <w:rFonts w:hint="cs"/>
                <w:sz w:val="26"/>
                <w:rtl/>
              </w:rPr>
              <w:t>ו</w:t>
            </w:r>
            <w:r>
              <w:rPr>
                <w:sz w:val="26"/>
                <w:rtl/>
              </w:rPr>
              <w:t xml:space="preserve"> </w:t>
            </w:r>
            <w:r>
              <w:rPr>
                <w:rFonts w:hint="cs"/>
                <w:sz w:val="26"/>
                <w:rtl/>
              </w:rPr>
              <w:t>הורים</w:t>
            </w:r>
            <w:r>
              <w:rPr>
                <w:sz w:val="26"/>
                <w:rtl/>
              </w:rPr>
              <w:t xml:space="preserve"> עבור מעון יום לילדיה</w:t>
            </w:r>
            <w:r>
              <w:rPr>
                <w:rFonts w:hint="cs"/>
                <w:sz w:val="26"/>
                <w:rtl/>
              </w:rPr>
              <w:t>ם</w:t>
            </w:r>
            <w:r>
              <w:rPr>
                <w:sz w:val="26"/>
                <w:rtl/>
              </w:rPr>
              <w:t>, בסכום שאינו עולה על 20,000 שקלים חדשים בעד ילד</w:t>
            </w:r>
            <w:r>
              <w:rPr>
                <w:rFonts w:hint="cs"/>
                <w:sz w:val="26"/>
                <w:rtl/>
              </w:rPr>
              <w:t>ם</w:t>
            </w:r>
            <w:r>
              <w:rPr>
                <w:sz w:val="26"/>
                <w:rtl/>
              </w:rPr>
              <w:t xml:space="preserve"> האחד, 17,300 שקלים חדשים נוספים בעד ילד</w:t>
            </w:r>
            <w:r>
              <w:rPr>
                <w:rFonts w:hint="cs"/>
                <w:sz w:val="26"/>
                <w:rtl/>
              </w:rPr>
              <w:t>ם</w:t>
            </w:r>
            <w:r>
              <w:rPr>
                <w:sz w:val="26"/>
                <w:rtl/>
              </w:rPr>
              <w:t xml:space="preserve"> השני, ו-14,600 שקלים חדשים נוספים בעד כל אחד מילדי</w:t>
            </w:r>
            <w:r>
              <w:rPr>
                <w:rFonts w:hint="cs"/>
                <w:sz w:val="26"/>
                <w:rtl/>
              </w:rPr>
              <w:t>הם</w:t>
            </w:r>
            <w:r>
              <w:rPr>
                <w:sz w:val="26"/>
                <w:rtl/>
              </w:rPr>
              <w:t xml:space="preserve"> הנוספים</w:t>
            </w:r>
            <w:r>
              <w:rPr>
                <w:rFonts w:hint="cs"/>
                <w:sz w:val="26"/>
                <w:rtl/>
              </w:rPr>
              <w:t>; הסכומים האמורים ינוכו מהכנסתו של אחד ההורים בלבד, לפי בחירתם, בהודעה שיגישו לפקיד השומה,</w:t>
            </w:r>
            <w:r>
              <w:rPr>
                <w:sz w:val="26"/>
                <w:rtl/>
              </w:rPr>
              <w:t xml:space="preserve"> ובלבד שהתקיימו כל אלה:</w:t>
            </w:r>
          </w:p>
        </w:tc>
      </w:tr>
      <w:tr w:rsidR="008E415C" w14:paraId="2744FF44" w14:textId="77777777" w:rsidTr="00161366">
        <w:trPr>
          <w:cantSplit/>
          <w:trHeight w:val="60"/>
        </w:trPr>
        <w:tc>
          <w:tcPr>
            <w:tcW w:w="1871" w:type="dxa"/>
          </w:tcPr>
          <w:p w14:paraId="63D8B26E" w14:textId="3E5B8C1C" w:rsidR="008E415C" w:rsidRDefault="008E415C">
            <w:pPr>
              <w:pStyle w:val="TableSideHeading"/>
            </w:pPr>
          </w:p>
        </w:tc>
        <w:tc>
          <w:tcPr>
            <w:tcW w:w="624" w:type="dxa"/>
          </w:tcPr>
          <w:p w14:paraId="0B420B7E" w14:textId="77777777" w:rsidR="008E415C" w:rsidRDefault="008E415C">
            <w:pPr>
              <w:pStyle w:val="TableText"/>
            </w:pPr>
          </w:p>
        </w:tc>
        <w:tc>
          <w:tcPr>
            <w:tcW w:w="624" w:type="dxa"/>
          </w:tcPr>
          <w:p w14:paraId="7FBF98F7" w14:textId="77777777" w:rsidR="008E415C" w:rsidRDefault="008E415C">
            <w:pPr>
              <w:pStyle w:val="TableText"/>
            </w:pPr>
          </w:p>
        </w:tc>
        <w:tc>
          <w:tcPr>
            <w:tcW w:w="624" w:type="dxa"/>
          </w:tcPr>
          <w:p w14:paraId="745C44C5" w14:textId="77777777" w:rsidR="008E415C" w:rsidRDefault="008E415C">
            <w:pPr>
              <w:pStyle w:val="TableText"/>
            </w:pPr>
          </w:p>
        </w:tc>
        <w:tc>
          <w:tcPr>
            <w:tcW w:w="5898" w:type="dxa"/>
          </w:tcPr>
          <w:p w14:paraId="18D46575" w14:textId="14E23068" w:rsidR="008E415C" w:rsidRDefault="008E415C" w:rsidP="00932450">
            <w:pPr>
              <w:pStyle w:val="TableText"/>
              <w:ind w:right="0"/>
              <w:jc w:val="both"/>
            </w:pPr>
            <w:r w:rsidRPr="008D683B">
              <w:rPr>
                <w:rtl/>
              </w:rPr>
              <w:t>(1)</w:t>
            </w:r>
            <w:r w:rsidRPr="008D683B">
              <w:rPr>
                <w:rtl/>
              </w:rPr>
              <w:tab/>
            </w:r>
            <w:r>
              <w:rPr>
                <w:rFonts w:hint="cs"/>
                <w:sz w:val="26"/>
                <w:rtl/>
              </w:rPr>
              <w:t>ההורים</w:t>
            </w:r>
            <w:r>
              <w:rPr>
                <w:sz w:val="26"/>
                <w:rtl/>
              </w:rPr>
              <w:t xml:space="preserve"> עובדים או עוסקים בעסק או במשלח יד במהלך כל שנת המס, 36 שעות בשבוע לפחות, כל</w:t>
            </w:r>
            <w:r>
              <w:rPr>
                <w:rFonts w:hint="cs"/>
                <w:sz w:val="26"/>
                <w:rtl/>
              </w:rPr>
              <w:t xml:space="preserve"> אחד מהם;</w:t>
            </w:r>
          </w:p>
        </w:tc>
      </w:tr>
      <w:tr w:rsidR="008E415C" w14:paraId="7F7DBABB" w14:textId="77777777" w:rsidTr="00CB11A9">
        <w:trPr>
          <w:cantSplit/>
          <w:trHeight w:val="60"/>
        </w:trPr>
        <w:tc>
          <w:tcPr>
            <w:tcW w:w="1871" w:type="dxa"/>
          </w:tcPr>
          <w:p w14:paraId="08F80988" w14:textId="3B951354" w:rsidR="008E415C" w:rsidRDefault="008E415C">
            <w:pPr>
              <w:pStyle w:val="TableSideHeading"/>
            </w:pPr>
          </w:p>
        </w:tc>
        <w:tc>
          <w:tcPr>
            <w:tcW w:w="624" w:type="dxa"/>
          </w:tcPr>
          <w:p w14:paraId="2E9266EC" w14:textId="77777777" w:rsidR="008E415C" w:rsidRDefault="008E415C">
            <w:pPr>
              <w:pStyle w:val="TableText"/>
            </w:pPr>
          </w:p>
        </w:tc>
        <w:tc>
          <w:tcPr>
            <w:tcW w:w="624" w:type="dxa"/>
          </w:tcPr>
          <w:p w14:paraId="41832E45" w14:textId="77777777" w:rsidR="008E415C" w:rsidRDefault="008E415C">
            <w:pPr>
              <w:pStyle w:val="TableText"/>
            </w:pPr>
          </w:p>
        </w:tc>
        <w:tc>
          <w:tcPr>
            <w:tcW w:w="624" w:type="dxa"/>
          </w:tcPr>
          <w:p w14:paraId="6092F24B" w14:textId="77777777" w:rsidR="008E415C" w:rsidRDefault="008E415C">
            <w:pPr>
              <w:pStyle w:val="TableText"/>
            </w:pPr>
          </w:p>
        </w:tc>
        <w:tc>
          <w:tcPr>
            <w:tcW w:w="5898" w:type="dxa"/>
          </w:tcPr>
          <w:p w14:paraId="13AA1895" w14:textId="5F9BED58" w:rsidR="008E415C" w:rsidRDefault="008E415C" w:rsidP="00291411">
            <w:pPr>
              <w:pStyle w:val="TableBlock"/>
            </w:pPr>
            <w:r w:rsidRPr="008D683B">
              <w:rPr>
                <w:rtl/>
              </w:rPr>
              <w:t>(2)</w:t>
            </w:r>
            <w:r>
              <w:rPr>
                <w:rFonts w:hint="cs"/>
                <w:rtl/>
              </w:rPr>
              <w:tab/>
            </w:r>
            <w:r>
              <w:rPr>
                <w:rFonts w:hint="cs"/>
                <w:sz w:val="26"/>
                <w:rtl/>
              </w:rPr>
              <w:t xml:space="preserve"> ההורים</w:t>
            </w:r>
            <w:r>
              <w:rPr>
                <w:sz w:val="26"/>
                <w:rtl/>
              </w:rPr>
              <w:t xml:space="preserve"> הודיעו לפקיד השומה על בחירתם בניכוי לפי הוראות סעיף זה, בדרך </w:t>
            </w:r>
            <w:r>
              <w:rPr>
                <w:rFonts w:hint="cs"/>
                <w:sz w:val="26"/>
                <w:rtl/>
              </w:rPr>
              <w:t>שיקבע</w:t>
            </w:r>
            <w:r>
              <w:rPr>
                <w:sz w:val="26"/>
                <w:rtl/>
              </w:rPr>
              <w:t xml:space="preserve"> שר האוצר בתקנות.</w:t>
            </w:r>
          </w:p>
        </w:tc>
      </w:tr>
      <w:tr w:rsidR="00343232" w14:paraId="39F7AED9" w14:textId="77777777" w:rsidTr="00C41996">
        <w:trPr>
          <w:cantSplit/>
          <w:trHeight w:val="60"/>
        </w:trPr>
        <w:tc>
          <w:tcPr>
            <w:tcW w:w="1871" w:type="dxa"/>
          </w:tcPr>
          <w:p w14:paraId="7D5A9F59" w14:textId="240748AF" w:rsidR="00343232" w:rsidRDefault="00343232">
            <w:pPr>
              <w:pStyle w:val="TableSideHeading"/>
            </w:pPr>
          </w:p>
        </w:tc>
        <w:tc>
          <w:tcPr>
            <w:tcW w:w="624" w:type="dxa"/>
          </w:tcPr>
          <w:p w14:paraId="18A023E1" w14:textId="77777777" w:rsidR="00343232" w:rsidRDefault="00343232">
            <w:pPr>
              <w:pStyle w:val="TableText"/>
            </w:pPr>
          </w:p>
        </w:tc>
        <w:tc>
          <w:tcPr>
            <w:tcW w:w="624" w:type="dxa"/>
          </w:tcPr>
          <w:p w14:paraId="528D1CAB" w14:textId="77777777" w:rsidR="00343232" w:rsidRDefault="00343232">
            <w:pPr>
              <w:pStyle w:val="TableText"/>
            </w:pPr>
          </w:p>
        </w:tc>
        <w:tc>
          <w:tcPr>
            <w:tcW w:w="624" w:type="dxa"/>
          </w:tcPr>
          <w:p w14:paraId="0A91B33A" w14:textId="77777777" w:rsidR="00343232" w:rsidRDefault="00343232">
            <w:pPr>
              <w:pStyle w:val="TableText"/>
            </w:pPr>
          </w:p>
        </w:tc>
        <w:tc>
          <w:tcPr>
            <w:tcW w:w="5898" w:type="dxa"/>
          </w:tcPr>
          <w:p w14:paraId="6E331D4B" w14:textId="171D7123" w:rsidR="00343232" w:rsidRDefault="00343232" w:rsidP="0007356C">
            <w:pPr>
              <w:pStyle w:val="TableBlock"/>
            </w:pPr>
            <w:r w:rsidRPr="008D683B">
              <w:rPr>
                <w:rtl/>
              </w:rPr>
              <w:t>(ב)</w:t>
            </w:r>
            <w:r>
              <w:rPr>
                <w:rFonts w:hint="cs"/>
                <w:sz w:val="26"/>
                <w:rtl/>
              </w:rPr>
              <w:tab/>
            </w:r>
            <w:r>
              <w:rPr>
                <w:sz w:val="26"/>
                <w:rtl/>
              </w:rPr>
              <w:t xml:space="preserve">על אף האמור </w:t>
            </w:r>
            <w:r w:rsidR="00BA0331">
              <w:rPr>
                <w:rFonts w:hint="cs"/>
                <w:sz w:val="26"/>
                <w:rtl/>
              </w:rPr>
              <w:t>בפסקת משנה</w:t>
            </w:r>
            <w:r>
              <w:rPr>
                <w:sz w:val="26"/>
                <w:rtl/>
              </w:rPr>
              <w:t xml:space="preserve"> (א), </w:t>
            </w:r>
            <w:r w:rsidR="00435891">
              <w:rPr>
                <w:rFonts w:hint="cs"/>
                <w:sz w:val="26"/>
                <w:rtl/>
              </w:rPr>
              <w:t>הורים החיים בנפרד, ינ</w:t>
            </w:r>
            <w:r w:rsidR="00DE4A80">
              <w:rPr>
                <w:rFonts w:hint="cs"/>
                <w:sz w:val="26"/>
                <w:rtl/>
              </w:rPr>
              <w:t>ו</w:t>
            </w:r>
            <w:r w:rsidR="00435891">
              <w:rPr>
                <w:rFonts w:hint="cs"/>
                <w:sz w:val="26"/>
                <w:rtl/>
              </w:rPr>
              <w:t>כ</w:t>
            </w:r>
            <w:r w:rsidR="00DE4A80">
              <w:rPr>
                <w:rFonts w:hint="cs"/>
                <w:sz w:val="26"/>
                <w:rtl/>
              </w:rPr>
              <w:t xml:space="preserve">ו הסכומים כאמור </w:t>
            </w:r>
            <w:r w:rsidR="003B398A">
              <w:rPr>
                <w:rFonts w:hint="cs"/>
                <w:sz w:val="26"/>
                <w:rtl/>
              </w:rPr>
              <w:t>בפסקת משנה</w:t>
            </w:r>
            <w:r w:rsidR="00DE4A80">
              <w:rPr>
                <w:rFonts w:hint="cs"/>
                <w:sz w:val="26"/>
                <w:rtl/>
              </w:rPr>
              <w:t xml:space="preserve"> (א) מהכנסתו של</w:t>
            </w:r>
            <w:r w:rsidR="00435891">
              <w:rPr>
                <w:rFonts w:hint="cs"/>
                <w:sz w:val="26"/>
                <w:rtl/>
              </w:rPr>
              <w:t xml:space="preserve"> ההורה שכלכלת ילדיו הייתה עליו, ואם כלכלת ילדיהם מחולקת ביניהם, ינוכו הסכומים מהכנסתו של כל הורה לפי חלקו בהוצאות הכלכלה.</w:t>
            </w:r>
          </w:p>
        </w:tc>
      </w:tr>
      <w:tr w:rsidR="008E415C" w14:paraId="64478157" w14:textId="77777777" w:rsidTr="002D2FCB">
        <w:trPr>
          <w:cantSplit/>
          <w:trHeight w:val="60"/>
        </w:trPr>
        <w:tc>
          <w:tcPr>
            <w:tcW w:w="1871" w:type="dxa"/>
          </w:tcPr>
          <w:p w14:paraId="137F8B83" w14:textId="77777777" w:rsidR="008E415C" w:rsidRDefault="008E415C">
            <w:pPr>
              <w:pStyle w:val="TableSideHeading"/>
            </w:pPr>
          </w:p>
        </w:tc>
        <w:tc>
          <w:tcPr>
            <w:tcW w:w="624" w:type="dxa"/>
          </w:tcPr>
          <w:p w14:paraId="1F17ED05" w14:textId="77777777" w:rsidR="008E415C" w:rsidRDefault="008E415C">
            <w:pPr>
              <w:pStyle w:val="TableText"/>
            </w:pPr>
          </w:p>
        </w:tc>
        <w:tc>
          <w:tcPr>
            <w:tcW w:w="624" w:type="dxa"/>
          </w:tcPr>
          <w:p w14:paraId="73EC96C7" w14:textId="77777777" w:rsidR="008E415C" w:rsidRDefault="008E415C">
            <w:pPr>
              <w:pStyle w:val="TableText"/>
            </w:pPr>
          </w:p>
        </w:tc>
        <w:tc>
          <w:tcPr>
            <w:tcW w:w="6522" w:type="dxa"/>
            <w:gridSpan w:val="2"/>
          </w:tcPr>
          <w:p w14:paraId="47BACC96" w14:textId="509FC6C7" w:rsidR="008E415C" w:rsidRPr="008D683B" w:rsidRDefault="008E415C" w:rsidP="008C0CF2">
            <w:pPr>
              <w:pStyle w:val="TableBlock"/>
              <w:rPr>
                <w:rtl/>
              </w:rPr>
            </w:pPr>
            <w:r w:rsidRPr="008D683B">
              <w:rPr>
                <w:rtl/>
              </w:rPr>
              <w:t>(ג)</w:t>
            </w:r>
            <w:r>
              <w:rPr>
                <w:rFonts w:hint="cs"/>
                <w:sz w:val="26"/>
                <w:rtl/>
              </w:rPr>
              <w:tab/>
            </w:r>
            <w:r>
              <w:rPr>
                <w:sz w:val="26"/>
                <w:rtl/>
              </w:rPr>
              <w:t xml:space="preserve">על אף האמור </w:t>
            </w:r>
            <w:r>
              <w:rPr>
                <w:rFonts w:hint="cs"/>
                <w:sz w:val="26"/>
                <w:rtl/>
              </w:rPr>
              <w:t>בפסקת משנה</w:t>
            </w:r>
            <w:r>
              <w:rPr>
                <w:sz w:val="26"/>
                <w:rtl/>
              </w:rPr>
              <w:t xml:space="preserve"> (א), </w:t>
            </w:r>
            <w:r>
              <w:rPr>
                <w:rFonts w:hint="cs"/>
                <w:sz w:val="26"/>
                <w:rtl/>
              </w:rPr>
              <w:t>הורים שעובדים או שעוסקים בעסק או במשלח יד רק בחלק משנת המס, יהיו זכאים לניכוי סכומים כאמור בפסקת משנה (א) באופן יחסי, ובלבד שההורים עובדים או עוסקים בעסק או במשלח יד, עשרה חודשים רצופים לפחות.</w:t>
            </w:r>
          </w:p>
        </w:tc>
      </w:tr>
      <w:tr w:rsidR="008E415C" w14:paraId="07891CA0" w14:textId="77777777" w:rsidTr="00FB2B20">
        <w:trPr>
          <w:cantSplit/>
          <w:trHeight w:val="60"/>
        </w:trPr>
        <w:tc>
          <w:tcPr>
            <w:tcW w:w="1871" w:type="dxa"/>
          </w:tcPr>
          <w:p w14:paraId="6123B8FF" w14:textId="77777777" w:rsidR="008E415C" w:rsidRDefault="008E415C">
            <w:pPr>
              <w:pStyle w:val="TableSideHeading"/>
            </w:pPr>
          </w:p>
        </w:tc>
        <w:tc>
          <w:tcPr>
            <w:tcW w:w="624" w:type="dxa"/>
          </w:tcPr>
          <w:p w14:paraId="327CE8B4" w14:textId="77777777" w:rsidR="008E415C" w:rsidRDefault="008E415C">
            <w:pPr>
              <w:pStyle w:val="TableText"/>
            </w:pPr>
          </w:p>
        </w:tc>
        <w:tc>
          <w:tcPr>
            <w:tcW w:w="624" w:type="dxa"/>
          </w:tcPr>
          <w:p w14:paraId="7CF8019A" w14:textId="77777777" w:rsidR="008E415C" w:rsidRDefault="008E415C">
            <w:pPr>
              <w:pStyle w:val="TableText"/>
            </w:pPr>
          </w:p>
        </w:tc>
        <w:tc>
          <w:tcPr>
            <w:tcW w:w="6522" w:type="dxa"/>
            <w:gridSpan w:val="2"/>
          </w:tcPr>
          <w:p w14:paraId="2BD78EAC" w14:textId="782FF346" w:rsidR="008E415C" w:rsidRPr="008D683B" w:rsidRDefault="008E415C" w:rsidP="0007356C">
            <w:pPr>
              <w:pStyle w:val="TableBlock"/>
              <w:rPr>
                <w:rtl/>
              </w:rPr>
            </w:pPr>
            <w:r w:rsidRPr="008D683B">
              <w:rPr>
                <w:rtl/>
              </w:rPr>
              <w:t>(</w:t>
            </w:r>
            <w:r>
              <w:rPr>
                <w:rFonts w:hint="cs"/>
                <w:rtl/>
              </w:rPr>
              <w:t>ד</w:t>
            </w:r>
            <w:r w:rsidRPr="008D683B">
              <w:rPr>
                <w:rtl/>
              </w:rPr>
              <w:t>)</w:t>
            </w:r>
            <w:r>
              <w:rPr>
                <w:rFonts w:hint="cs"/>
                <w:rtl/>
              </w:rPr>
              <w:tab/>
            </w:r>
            <w:r w:rsidRPr="008D683B">
              <w:rPr>
                <w:rtl/>
              </w:rPr>
              <w:t>שר האוצר, באישור ועדת הכספים של הכנסת, רשאי לקבוע</w:t>
            </w:r>
            <w:r>
              <w:rPr>
                <w:rFonts w:hint="cs"/>
                <w:rtl/>
              </w:rPr>
              <w:t xml:space="preserve"> הוראות לעניין סעיף זה, ובכלל זה הוראות לעניין זכאות לניכוי סכומים כאמור בפסקת משנה (א) להורים שעובדים או שעוסקים בעסק או במשלח יד בהיקף של פחות מ-36 שעות בשבוע.</w:t>
            </w:r>
          </w:p>
        </w:tc>
      </w:tr>
      <w:tr w:rsidR="008E415C" w14:paraId="22ECC863" w14:textId="77777777" w:rsidTr="00155B69">
        <w:trPr>
          <w:cantSplit/>
          <w:trHeight w:val="60"/>
        </w:trPr>
        <w:tc>
          <w:tcPr>
            <w:tcW w:w="1871" w:type="dxa"/>
          </w:tcPr>
          <w:p w14:paraId="14EF8148" w14:textId="4F415A84" w:rsidR="008E415C" w:rsidRDefault="008E415C">
            <w:pPr>
              <w:pStyle w:val="TableSideHeading"/>
            </w:pPr>
          </w:p>
        </w:tc>
        <w:tc>
          <w:tcPr>
            <w:tcW w:w="624" w:type="dxa"/>
          </w:tcPr>
          <w:p w14:paraId="433F55D6" w14:textId="77777777" w:rsidR="008E415C" w:rsidRDefault="008E415C">
            <w:pPr>
              <w:pStyle w:val="TableText"/>
            </w:pPr>
          </w:p>
        </w:tc>
        <w:tc>
          <w:tcPr>
            <w:tcW w:w="624" w:type="dxa"/>
          </w:tcPr>
          <w:p w14:paraId="6FCCD2CC" w14:textId="77777777" w:rsidR="008E415C" w:rsidRDefault="008E415C">
            <w:pPr>
              <w:pStyle w:val="TableText"/>
            </w:pPr>
          </w:p>
        </w:tc>
        <w:tc>
          <w:tcPr>
            <w:tcW w:w="6522" w:type="dxa"/>
            <w:gridSpan w:val="2"/>
          </w:tcPr>
          <w:p w14:paraId="366384DC" w14:textId="26BC41CC" w:rsidR="008E415C" w:rsidRDefault="008E415C" w:rsidP="0007356C">
            <w:pPr>
              <w:pStyle w:val="TableBlock"/>
            </w:pPr>
            <w:r w:rsidRPr="008D683B">
              <w:rPr>
                <w:rtl/>
              </w:rPr>
              <w:t>(</w:t>
            </w:r>
            <w:r>
              <w:rPr>
                <w:rFonts w:hint="cs"/>
                <w:rtl/>
              </w:rPr>
              <w:t>ה</w:t>
            </w:r>
            <w:r w:rsidRPr="008D683B">
              <w:rPr>
                <w:rtl/>
              </w:rPr>
              <w:t>)</w:t>
            </w:r>
            <w:r>
              <w:rPr>
                <w:rtl/>
              </w:rPr>
              <w:tab/>
            </w:r>
            <w:r>
              <w:rPr>
                <w:rFonts w:hint="cs"/>
                <w:rtl/>
              </w:rPr>
              <w:t>בפסקה זו</w:t>
            </w:r>
            <w:r w:rsidRPr="008D683B">
              <w:rPr>
                <w:rtl/>
              </w:rPr>
              <w:t xml:space="preserve"> </w:t>
            </w:r>
            <w:r>
              <w:rPr>
                <w:rFonts w:hint="cs"/>
                <w:rtl/>
              </w:rPr>
              <w:t>–</w:t>
            </w:r>
          </w:p>
        </w:tc>
      </w:tr>
      <w:tr w:rsidR="008E415C" w14:paraId="17202628" w14:textId="77777777" w:rsidTr="003F4453">
        <w:trPr>
          <w:cantSplit/>
          <w:trHeight w:val="60"/>
        </w:trPr>
        <w:tc>
          <w:tcPr>
            <w:tcW w:w="1871" w:type="dxa"/>
          </w:tcPr>
          <w:p w14:paraId="197BB53E" w14:textId="77777777" w:rsidR="008E415C" w:rsidRDefault="008E415C">
            <w:pPr>
              <w:pStyle w:val="TableSideHeading"/>
            </w:pPr>
          </w:p>
        </w:tc>
        <w:tc>
          <w:tcPr>
            <w:tcW w:w="624" w:type="dxa"/>
          </w:tcPr>
          <w:p w14:paraId="39E4D999" w14:textId="77777777" w:rsidR="008E415C" w:rsidRDefault="008E415C">
            <w:pPr>
              <w:pStyle w:val="TableText"/>
            </w:pPr>
          </w:p>
        </w:tc>
        <w:tc>
          <w:tcPr>
            <w:tcW w:w="624" w:type="dxa"/>
          </w:tcPr>
          <w:p w14:paraId="1B7CA6C4" w14:textId="77777777" w:rsidR="008E415C" w:rsidRDefault="008E415C">
            <w:pPr>
              <w:pStyle w:val="TableText"/>
            </w:pPr>
          </w:p>
        </w:tc>
        <w:tc>
          <w:tcPr>
            <w:tcW w:w="624" w:type="dxa"/>
          </w:tcPr>
          <w:p w14:paraId="18165B10" w14:textId="77777777" w:rsidR="008E415C" w:rsidRDefault="008E415C">
            <w:pPr>
              <w:pStyle w:val="TableText"/>
            </w:pPr>
          </w:p>
        </w:tc>
        <w:tc>
          <w:tcPr>
            <w:tcW w:w="5898" w:type="dxa"/>
          </w:tcPr>
          <w:p w14:paraId="2A338FCB" w14:textId="33BE50B8" w:rsidR="008E415C" w:rsidRPr="00932450" w:rsidRDefault="008E415C" w:rsidP="003F749B">
            <w:pPr>
              <w:pStyle w:val="TableBlockOutdent"/>
              <w:rPr>
                <w:rtl/>
              </w:rPr>
            </w:pPr>
            <w:r w:rsidRPr="00932450">
              <w:rPr>
                <w:rtl/>
              </w:rPr>
              <w:t>"ילד" –</w:t>
            </w:r>
            <w:r w:rsidRPr="00932450">
              <w:rPr>
                <w:rFonts w:hint="cs"/>
                <w:rtl/>
              </w:rPr>
              <w:t xml:space="preserve"> מי שטרם מלאו לו 3 שנים, ואם מלאו לו 3 שנים </w:t>
            </w:r>
            <w:r w:rsidRPr="003F749B">
              <w:rPr>
                <w:rFonts w:hint="cs"/>
                <w:rtl/>
              </w:rPr>
              <w:t>במהלך</w:t>
            </w:r>
            <w:r>
              <w:rPr>
                <w:rFonts w:hint="cs"/>
                <w:rtl/>
              </w:rPr>
              <w:t xml:space="preserve"> שנת הלימודים</w:t>
            </w:r>
            <w:r w:rsidRPr="00932450">
              <w:rPr>
                <w:rFonts w:hint="cs"/>
                <w:rtl/>
              </w:rPr>
              <w:t xml:space="preserve"> </w:t>
            </w:r>
            <w:r w:rsidRPr="00932450">
              <w:rPr>
                <w:rFonts w:hint="eastAsia"/>
                <w:rtl/>
              </w:rPr>
              <w:t>– עד סיום שנת ה</w:t>
            </w:r>
            <w:r w:rsidRPr="00932450">
              <w:rPr>
                <w:rFonts w:hint="cs"/>
                <w:rtl/>
              </w:rPr>
              <w:t>ל</w:t>
            </w:r>
            <w:r w:rsidRPr="00932450">
              <w:rPr>
                <w:rFonts w:hint="eastAsia"/>
                <w:rtl/>
              </w:rPr>
              <w:t>ימודים</w:t>
            </w:r>
            <w:r w:rsidRPr="00932450">
              <w:rPr>
                <w:rFonts w:hint="cs"/>
                <w:rtl/>
              </w:rPr>
              <w:t xml:space="preserve">, ובלבד שאינו </w:t>
            </w:r>
            <w:r w:rsidRPr="00176E1A">
              <w:rPr>
                <w:rtl/>
              </w:rPr>
              <w:t>זכאי לחינוך חינם לפי חוק לימוד חובה, התש"ט</w:t>
            </w:r>
            <w:r w:rsidRPr="00176E1A">
              <w:rPr>
                <w:rFonts w:hint="cs"/>
                <w:rtl/>
              </w:rPr>
              <w:t>–</w:t>
            </w:r>
            <w:r w:rsidRPr="00176E1A">
              <w:rPr>
                <w:rtl/>
              </w:rPr>
              <w:t>1949</w:t>
            </w:r>
            <w:r w:rsidRPr="00932450">
              <w:rPr>
                <w:vertAlign w:val="superscript"/>
                <w:rtl/>
              </w:rPr>
              <w:footnoteReference w:id="3"/>
            </w:r>
            <w:r w:rsidRPr="00932450">
              <w:rPr>
                <w:rFonts w:hint="cs"/>
                <w:rtl/>
              </w:rPr>
              <w:t>;</w:t>
            </w:r>
          </w:p>
        </w:tc>
      </w:tr>
      <w:tr w:rsidR="008E415C" w14:paraId="5D4F685D" w14:textId="77777777" w:rsidTr="005D7499">
        <w:trPr>
          <w:cantSplit/>
          <w:trHeight w:val="60"/>
        </w:trPr>
        <w:tc>
          <w:tcPr>
            <w:tcW w:w="1871" w:type="dxa"/>
          </w:tcPr>
          <w:p w14:paraId="0434CE7F" w14:textId="77777777" w:rsidR="008E415C" w:rsidRDefault="008E415C">
            <w:pPr>
              <w:pStyle w:val="TableSideHeading"/>
            </w:pPr>
          </w:p>
        </w:tc>
        <w:tc>
          <w:tcPr>
            <w:tcW w:w="624" w:type="dxa"/>
          </w:tcPr>
          <w:p w14:paraId="78E29D26" w14:textId="77777777" w:rsidR="008E415C" w:rsidRDefault="008E415C">
            <w:pPr>
              <w:pStyle w:val="TableText"/>
            </w:pPr>
          </w:p>
        </w:tc>
        <w:tc>
          <w:tcPr>
            <w:tcW w:w="624" w:type="dxa"/>
          </w:tcPr>
          <w:p w14:paraId="28B3B1CB" w14:textId="77777777" w:rsidR="008E415C" w:rsidRDefault="008E415C">
            <w:pPr>
              <w:pStyle w:val="TableText"/>
            </w:pPr>
          </w:p>
        </w:tc>
        <w:tc>
          <w:tcPr>
            <w:tcW w:w="624" w:type="dxa"/>
          </w:tcPr>
          <w:p w14:paraId="10B87D4F" w14:textId="77777777" w:rsidR="008E415C" w:rsidRDefault="008E415C">
            <w:pPr>
              <w:pStyle w:val="TableText"/>
            </w:pPr>
          </w:p>
        </w:tc>
        <w:tc>
          <w:tcPr>
            <w:tcW w:w="5898" w:type="dxa"/>
          </w:tcPr>
          <w:p w14:paraId="0D464EF3" w14:textId="5EC72BCC" w:rsidR="008E415C" w:rsidRPr="00932450" w:rsidRDefault="008E415C" w:rsidP="00932450">
            <w:pPr>
              <w:pStyle w:val="TableBlockOutdent"/>
            </w:pPr>
            <w:r w:rsidRPr="00932450">
              <w:rPr>
                <w:rFonts w:hint="cs"/>
                <w:rtl/>
              </w:rPr>
              <w:t xml:space="preserve">"מעון יום" </w:t>
            </w:r>
            <w:r w:rsidRPr="00932450">
              <w:rPr>
                <w:rFonts w:hint="eastAsia"/>
                <w:rtl/>
              </w:rPr>
              <w:t>–</w:t>
            </w:r>
            <w:r w:rsidRPr="00932450">
              <w:rPr>
                <w:rFonts w:hint="cs"/>
                <w:rtl/>
              </w:rPr>
              <w:t xml:space="preserve"> כהגדרתו בחוק פעוטות בסיכון (הזכות למעון יום), התש"ס</w:t>
            </w:r>
            <w:r w:rsidRPr="00932450">
              <w:rPr>
                <w:rFonts w:hint="eastAsia"/>
                <w:rtl/>
              </w:rPr>
              <w:t>–2000</w:t>
            </w:r>
            <w:r w:rsidRPr="00932450">
              <w:rPr>
                <w:vertAlign w:val="superscript"/>
                <w:rtl/>
              </w:rPr>
              <w:footnoteReference w:id="4"/>
            </w:r>
            <w:r w:rsidRPr="00932450">
              <w:rPr>
                <w:rFonts w:hint="cs"/>
                <w:rtl/>
              </w:rPr>
              <w:t>."</w:t>
            </w:r>
          </w:p>
        </w:tc>
      </w:tr>
      <w:tr w:rsidR="00E929E0" w14:paraId="24B92026" w14:textId="77777777">
        <w:trPr>
          <w:cantSplit/>
          <w:trHeight w:val="60"/>
        </w:trPr>
        <w:tc>
          <w:tcPr>
            <w:tcW w:w="1871" w:type="dxa"/>
          </w:tcPr>
          <w:p w14:paraId="77B82599" w14:textId="09E79EEC" w:rsidR="00E929E0" w:rsidRDefault="00E929E0">
            <w:pPr>
              <w:pStyle w:val="TableSideHeading"/>
            </w:pPr>
            <w:r>
              <w:rPr>
                <w:rFonts w:hint="cs"/>
                <w:rtl/>
              </w:rPr>
              <w:t>תיקון סעיף 32</w:t>
            </w:r>
          </w:p>
        </w:tc>
        <w:tc>
          <w:tcPr>
            <w:tcW w:w="624" w:type="dxa"/>
          </w:tcPr>
          <w:p w14:paraId="6E874E13" w14:textId="47EAF47B" w:rsidR="00E929E0" w:rsidRDefault="00E929E0">
            <w:pPr>
              <w:pStyle w:val="TableText"/>
            </w:pPr>
            <w:r>
              <w:rPr>
                <w:rFonts w:hint="cs"/>
                <w:rtl/>
              </w:rPr>
              <w:t>2.</w:t>
            </w:r>
          </w:p>
        </w:tc>
        <w:tc>
          <w:tcPr>
            <w:tcW w:w="7146" w:type="dxa"/>
            <w:gridSpan w:val="3"/>
          </w:tcPr>
          <w:p w14:paraId="57CB1388" w14:textId="19E8239A" w:rsidR="00E929E0" w:rsidRPr="00C34DE2" w:rsidRDefault="00E929E0">
            <w:pPr>
              <w:pStyle w:val="TableBlock"/>
            </w:pPr>
            <w:r w:rsidRPr="008D683B">
              <w:rPr>
                <w:rFonts w:hint="cs"/>
                <w:rtl/>
              </w:rPr>
              <w:t>בסעיף 32 לפקודה</w:t>
            </w:r>
            <w:r w:rsidR="00DE4C0D">
              <w:rPr>
                <w:rFonts w:hint="cs"/>
                <w:rtl/>
              </w:rPr>
              <w:t>, בפסקה (1)</w:t>
            </w:r>
            <w:r w:rsidRPr="008D683B">
              <w:rPr>
                <w:rFonts w:hint="cs"/>
                <w:rtl/>
              </w:rPr>
              <w:t>, המילים "לשם טיפול בילד או השגחה עליו או" – יימחקו.</w:t>
            </w:r>
          </w:p>
        </w:tc>
      </w:tr>
    </w:tbl>
    <w:p w14:paraId="7F6961CA" w14:textId="77777777" w:rsidR="002D1EE3" w:rsidRDefault="002D1EE3" w:rsidP="002D1EE3">
      <w:pPr>
        <w:pStyle w:val="HeadDivreiHesber"/>
        <w:rPr>
          <w:rtl/>
        </w:rPr>
      </w:pPr>
      <w:r w:rsidRPr="0027450A">
        <w:rPr>
          <w:rFonts w:hint="cs"/>
          <w:rtl/>
        </w:rPr>
        <w:t>דברי הסבר</w:t>
      </w:r>
    </w:p>
    <w:p w14:paraId="305CCD29" w14:textId="7A9B1F3E" w:rsidR="005D7CC0" w:rsidRPr="003A3F87" w:rsidRDefault="003F749B" w:rsidP="008E415C">
      <w:pPr>
        <w:pStyle w:val="Hesber"/>
        <w:spacing w:line="240" w:lineRule="auto"/>
        <w:rPr>
          <w:rtl/>
        </w:rPr>
      </w:pPr>
      <w:r>
        <w:rPr>
          <w:rFonts w:hint="cs"/>
          <w:rtl/>
        </w:rPr>
        <w:t xml:space="preserve">ההוצאות עבור </w:t>
      </w:r>
      <w:r w:rsidR="005D7CC0" w:rsidRPr="003A3F87">
        <w:rPr>
          <w:rtl/>
        </w:rPr>
        <w:t>טיפול בילדים בגיל הרך הן גבוהות ומטילות מעמסה כלכלית על ההורים. לעתים נאלץ משק בית להו</w:t>
      </w:r>
      <w:r w:rsidR="00B63437">
        <w:rPr>
          <w:rtl/>
        </w:rPr>
        <w:t>ציא את רוב הכנסתו של אחד ההורים</w:t>
      </w:r>
      <w:r w:rsidR="005D7CC0" w:rsidRPr="003A3F87">
        <w:rPr>
          <w:rtl/>
        </w:rPr>
        <w:t xml:space="preserve"> על התשלום האמור, ובשל כך </w:t>
      </w:r>
      <w:r w:rsidR="00E351B0">
        <w:rPr>
          <w:rFonts w:hint="cs"/>
          <w:rtl/>
        </w:rPr>
        <w:t>נמנעים הורים רבים</w:t>
      </w:r>
      <w:r w:rsidR="005D7CC0" w:rsidRPr="003A3F87">
        <w:rPr>
          <w:rtl/>
        </w:rPr>
        <w:t xml:space="preserve"> מיציאה לשוק העבודה.</w:t>
      </w:r>
    </w:p>
    <w:p w14:paraId="7337739C" w14:textId="34A77AA0" w:rsidR="005D7CC0" w:rsidRPr="003A3F87" w:rsidRDefault="005D7CC0" w:rsidP="008E415C">
      <w:pPr>
        <w:pStyle w:val="Hesber"/>
        <w:spacing w:line="240" w:lineRule="auto"/>
        <w:rPr>
          <w:rtl/>
        </w:rPr>
      </w:pPr>
      <w:r w:rsidRPr="003A3F87">
        <w:rPr>
          <w:rtl/>
        </w:rPr>
        <w:t xml:space="preserve">הצעת החוק נועדה להקל על הנטל הכלכלי </w:t>
      </w:r>
      <w:r w:rsidR="00B63437">
        <w:rPr>
          <w:rFonts w:hint="cs"/>
          <w:rtl/>
        </w:rPr>
        <w:t xml:space="preserve">האמור </w:t>
      </w:r>
      <w:r w:rsidR="00B63437">
        <w:rPr>
          <w:rtl/>
        </w:rPr>
        <w:t>וליצור תמריץ חיובי להשתלבות</w:t>
      </w:r>
      <w:r w:rsidR="00B63437">
        <w:rPr>
          <w:rFonts w:hint="cs"/>
          <w:rtl/>
        </w:rPr>
        <w:t>ם</w:t>
      </w:r>
      <w:r w:rsidRPr="003A3F87">
        <w:rPr>
          <w:rtl/>
        </w:rPr>
        <w:t xml:space="preserve"> של </w:t>
      </w:r>
      <w:r w:rsidR="00E351B0">
        <w:rPr>
          <w:rFonts w:hint="cs"/>
          <w:rtl/>
        </w:rPr>
        <w:t>הורים</w:t>
      </w:r>
      <w:r w:rsidR="00E351B0" w:rsidRPr="003A3F87">
        <w:rPr>
          <w:rtl/>
        </w:rPr>
        <w:t xml:space="preserve"> </w:t>
      </w:r>
      <w:r w:rsidRPr="003A3F87">
        <w:rPr>
          <w:rtl/>
        </w:rPr>
        <w:t xml:space="preserve">לפעוטות ולילדים בגיל הרך בשוק העבודה, ויהיה בה גם כדי להגדיל את הכנסות המדינה הנובעות ממיסוי. </w:t>
      </w:r>
    </w:p>
    <w:p w14:paraId="315B2015" w14:textId="41F83934" w:rsidR="005D7CC0" w:rsidRPr="003A3F87" w:rsidRDefault="005D7CC0" w:rsidP="008E415C">
      <w:pPr>
        <w:pStyle w:val="Hesber"/>
        <w:spacing w:line="240" w:lineRule="auto"/>
        <w:rPr>
          <w:rtl/>
        </w:rPr>
      </w:pPr>
      <w:r w:rsidRPr="003A3F87">
        <w:rPr>
          <w:rtl/>
        </w:rPr>
        <w:t xml:space="preserve">בהתאם להצעת החוק, </w:t>
      </w:r>
      <w:r w:rsidR="004A09CE">
        <w:rPr>
          <w:rFonts w:hint="cs"/>
          <w:rtl/>
        </w:rPr>
        <w:t xml:space="preserve">ינוכו מהכנסתם של הורים העובדים או העוסקים בעסק או במשלח יד במשך 36 שעות שבועיות לפחות, סכומים ששולמו עבור מעון יום לילדיהם. </w:t>
      </w:r>
      <w:r w:rsidR="00E351B0">
        <w:rPr>
          <w:rFonts w:hint="cs"/>
          <w:rtl/>
        </w:rPr>
        <w:t>ה</w:t>
      </w:r>
      <w:r w:rsidRPr="003A3F87">
        <w:rPr>
          <w:rtl/>
        </w:rPr>
        <w:t>סכומים</w:t>
      </w:r>
      <w:r w:rsidR="00E351B0">
        <w:rPr>
          <w:rFonts w:hint="cs"/>
          <w:rtl/>
        </w:rPr>
        <w:t xml:space="preserve"> האמורים לא יעלו על</w:t>
      </w:r>
      <w:r w:rsidRPr="003A3F87">
        <w:rPr>
          <w:rtl/>
        </w:rPr>
        <w:t xml:space="preserve"> 20,000 שקלים חדשים בעד </w:t>
      </w:r>
      <w:r w:rsidR="00E351B0" w:rsidRPr="003A3F87">
        <w:rPr>
          <w:rtl/>
        </w:rPr>
        <w:t>ילד</w:t>
      </w:r>
      <w:r w:rsidR="00E351B0">
        <w:rPr>
          <w:rFonts w:hint="cs"/>
          <w:rtl/>
        </w:rPr>
        <w:t>ם</w:t>
      </w:r>
      <w:r w:rsidR="00E351B0" w:rsidRPr="003A3F87">
        <w:rPr>
          <w:rtl/>
        </w:rPr>
        <w:t xml:space="preserve"> </w:t>
      </w:r>
      <w:r w:rsidRPr="003A3F87">
        <w:rPr>
          <w:rtl/>
        </w:rPr>
        <w:t>האחד</w:t>
      </w:r>
      <w:r w:rsidR="00E351B0">
        <w:rPr>
          <w:rFonts w:hint="cs"/>
          <w:rtl/>
        </w:rPr>
        <w:t xml:space="preserve"> של ההורים</w:t>
      </w:r>
      <w:r w:rsidRPr="003A3F87">
        <w:rPr>
          <w:rtl/>
        </w:rPr>
        <w:t xml:space="preserve">, 17,300 שקלים חדשים נוספים בעד </w:t>
      </w:r>
      <w:r w:rsidR="00E351B0" w:rsidRPr="003A3F87">
        <w:rPr>
          <w:rtl/>
        </w:rPr>
        <w:t>ילד</w:t>
      </w:r>
      <w:r w:rsidR="00E351B0">
        <w:rPr>
          <w:rFonts w:hint="cs"/>
          <w:rtl/>
        </w:rPr>
        <w:t>ם</w:t>
      </w:r>
      <w:r w:rsidR="00E351B0" w:rsidRPr="003A3F87">
        <w:rPr>
          <w:rtl/>
        </w:rPr>
        <w:t xml:space="preserve"> </w:t>
      </w:r>
      <w:r w:rsidRPr="003A3F87">
        <w:rPr>
          <w:rtl/>
        </w:rPr>
        <w:t>השני ו-14,600 שקלים חדשים נוספים בעד כל אחד מילדיה</w:t>
      </w:r>
      <w:r w:rsidR="00E351B0">
        <w:rPr>
          <w:rFonts w:hint="cs"/>
          <w:rtl/>
        </w:rPr>
        <w:t>ם</w:t>
      </w:r>
      <w:r w:rsidRPr="003A3F87">
        <w:rPr>
          <w:rtl/>
        </w:rPr>
        <w:t xml:space="preserve"> הנוספים</w:t>
      </w:r>
      <w:r w:rsidR="00E351B0">
        <w:rPr>
          <w:rFonts w:hint="cs"/>
          <w:rtl/>
        </w:rPr>
        <w:t>, והם</w:t>
      </w:r>
      <w:r w:rsidR="00E351B0">
        <w:rPr>
          <w:rFonts w:hint="cs"/>
          <w:sz w:val="26"/>
          <w:rtl/>
        </w:rPr>
        <w:t xml:space="preserve"> ינוכו מהכנסתו של אחד ההורים בלבד, לפי בחירתם, בהודעה שיגישו לפקיד השומה</w:t>
      </w:r>
      <w:r w:rsidR="00E351B0">
        <w:rPr>
          <w:rFonts w:hint="cs"/>
          <w:rtl/>
        </w:rPr>
        <w:t>.</w:t>
      </w:r>
    </w:p>
    <w:p w14:paraId="0FEA9B93" w14:textId="77071EBA" w:rsidR="005D7CC0" w:rsidRPr="003A3F87" w:rsidRDefault="005D7CC0" w:rsidP="008E415C">
      <w:pPr>
        <w:pStyle w:val="Hesber"/>
        <w:spacing w:line="240" w:lineRule="auto"/>
        <w:rPr>
          <w:rtl/>
        </w:rPr>
      </w:pPr>
      <w:r w:rsidRPr="003A3F87">
        <w:rPr>
          <w:rFonts w:hint="cs"/>
          <w:rtl/>
        </w:rPr>
        <w:t xml:space="preserve">יצוין, כי תיקון זה מבטל באופן חלקי תיקון שנעשה בשנת 2009 בסעיף 32(1) לפקודה, </w:t>
      </w:r>
      <w:r w:rsidR="008E415C">
        <w:rPr>
          <w:rFonts w:hint="cs"/>
          <w:rtl/>
        </w:rPr>
        <w:t>ש</w:t>
      </w:r>
      <w:r w:rsidRPr="003A3F87">
        <w:rPr>
          <w:rFonts w:hint="cs"/>
          <w:rtl/>
        </w:rPr>
        <w:t>בו נקבע, בין היתר, כי הוצאות שהוצאו לשם טיפול בילד או השגחה עליו אינן מותרות בניכוי. בהצעת חוק זו מוצע לבטל את האיסור על ניכוי הוצאות שהוצאו לשם טיפול בילד, ולקבוע כי ניתן יהיה לנכות הוצאות בתנאים שנקבעו בהצעת החוק</w:t>
      </w:r>
      <w:r w:rsidR="00AD5C62">
        <w:rPr>
          <w:rFonts w:hint="cs"/>
          <w:rtl/>
        </w:rPr>
        <w:t xml:space="preserve"> כאמור לעיל</w:t>
      </w:r>
      <w:r w:rsidRPr="003A3F87">
        <w:rPr>
          <w:rFonts w:hint="cs"/>
          <w:rtl/>
        </w:rPr>
        <w:t>.</w:t>
      </w:r>
    </w:p>
    <w:p w14:paraId="4932826F" w14:textId="24A16B2A" w:rsidR="00B42E11" w:rsidRDefault="00B42E11" w:rsidP="008E415C">
      <w:pPr>
        <w:pStyle w:val="Hesber"/>
        <w:spacing w:line="240" w:lineRule="auto"/>
        <w:rPr>
          <w:rtl/>
        </w:rPr>
      </w:pPr>
    </w:p>
    <w:p w14:paraId="2A16BBAC" w14:textId="77777777" w:rsidR="008E415C" w:rsidRPr="0022704F" w:rsidRDefault="008E415C" w:rsidP="008E415C">
      <w:pPr>
        <w:spacing w:before="0" w:line="240" w:lineRule="auto"/>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w:t>
      </w:r>
    </w:p>
    <w:p w14:paraId="452A7B3E" w14:textId="77777777" w:rsidR="008E415C" w:rsidRPr="0022704F" w:rsidRDefault="008E415C" w:rsidP="008E415C">
      <w:pPr>
        <w:spacing w:before="0" w:line="240" w:lineRule="auto"/>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הוגשה ליו"ר הכנסת והסגנים</w:t>
      </w:r>
    </w:p>
    <w:p w14:paraId="09C6D77D" w14:textId="77777777" w:rsidR="008E415C" w:rsidRPr="0022704F" w:rsidRDefault="008E415C" w:rsidP="008E415C">
      <w:pPr>
        <w:spacing w:before="0" w:line="240" w:lineRule="auto"/>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והונחה על שולחן הכנסת ביום</w:t>
      </w:r>
    </w:p>
    <w:p w14:paraId="2C458158" w14:textId="77777777" w:rsidR="008E415C" w:rsidRPr="00935520" w:rsidRDefault="008E415C" w:rsidP="008E415C">
      <w:pPr>
        <w:spacing w:before="0" w:line="240" w:lineRule="auto"/>
        <w:ind w:left="340"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י"א  באב התשע"ה</w:t>
      </w:r>
      <w:r w:rsidRPr="00935520">
        <w:rPr>
          <w:rFonts w:ascii="Arial" w:eastAsia="Arial Unicode MS" w:hAnsi="Arial" w:cs="David" w:hint="cs"/>
          <w:snapToGrid w:val="0"/>
          <w:spacing w:val="0"/>
          <w:sz w:val="20"/>
          <w:szCs w:val="26"/>
          <w:rtl/>
        </w:rPr>
        <w:t xml:space="preserve"> – </w:t>
      </w:r>
      <w:r>
        <w:rPr>
          <w:rFonts w:ascii="Arial" w:eastAsia="Arial Unicode MS" w:hAnsi="Arial" w:cs="David" w:hint="cs"/>
          <w:snapToGrid w:val="0"/>
          <w:spacing w:val="0"/>
          <w:sz w:val="20"/>
          <w:szCs w:val="26"/>
          <w:rtl/>
        </w:rPr>
        <w:t>27</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7</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15</w:t>
      </w:r>
      <w:bookmarkStart w:id="8" w:name="_GoBack"/>
      <w:bookmarkEnd w:id="8"/>
    </w:p>
    <w:p w14:paraId="7F6961CB" w14:textId="77777777" w:rsidR="00E13C27" w:rsidRPr="008E415C" w:rsidRDefault="00E13C27" w:rsidP="00E13C27">
      <w:pPr>
        <w:pStyle w:val="Hesber"/>
        <w:rPr>
          <w:rtl/>
        </w:rPr>
      </w:pPr>
    </w:p>
    <w:sectPr w:rsidR="00E13C27" w:rsidRPr="008E415C"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8E415C">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56E973F2" w14:textId="77777777" w:rsidR="00155145" w:rsidRDefault="00155145" w:rsidP="00F65852">
      <w:pPr>
        <w:pStyle w:val="a4"/>
      </w:pPr>
      <w:r>
        <w:rPr>
          <w:rStyle w:val="a5"/>
        </w:rPr>
        <w:footnoteRef/>
      </w:r>
      <w:r>
        <w:rPr>
          <w:sz w:val="20"/>
          <w:rtl/>
        </w:rPr>
        <w:t xml:space="preserve"> דיני מדינת ישראל, נוסח חדש 6, עמ' 120.</w:t>
      </w:r>
    </w:p>
  </w:footnote>
  <w:footnote w:id="3">
    <w:p w14:paraId="1824A24C" w14:textId="77777777" w:rsidR="008E415C" w:rsidRDefault="008E415C" w:rsidP="00C275C8">
      <w:pPr>
        <w:pStyle w:val="a4"/>
        <w:rPr>
          <w:rtl/>
        </w:rPr>
      </w:pPr>
      <w:r>
        <w:rPr>
          <w:rStyle w:val="a5"/>
        </w:rPr>
        <w:footnoteRef/>
      </w:r>
      <w:r>
        <w:rPr>
          <w:rtl/>
        </w:rPr>
        <w:t xml:space="preserve"> </w:t>
      </w:r>
      <w:r w:rsidRPr="00546BF7">
        <w:rPr>
          <w:sz w:val="20"/>
          <w:rtl/>
        </w:rPr>
        <w:t>ס"ח התש"ט, עמ' 287.</w:t>
      </w:r>
    </w:p>
  </w:footnote>
  <w:footnote w:id="4">
    <w:p w14:paraId="4C9A7600" w14:textId="77777777" w:rsidR="008E415C" w:rsidRDefault="008E415C" w:rsidP="0081479C">
      <w:pPr>
        <w:pStyle w:val="a4"/>
        <w:rPr>
          <w:rtl/>
        </w:rPr>
      </w:pPr>
      <w:r>
        <w:rPr>
          <w:rStyle w:val="a5"/>
        </w:rPr>
        <w:footnoteRef/>
      </w:r>
      <w:r>
        <w:rPr>
          <w:rtl/>
        </w:rPr>
        <w:t xml:space="preserve"> </w:t>
      </w:r>
      <w:r>
        <w:rPr>
          <w:sz w:val="20"/>
          <w:rtl/>
        </w:rPr>
        <w:t>ס"ח התש"ס, עמ' 248.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02629"/>
    <w:rsid w:val="00015B27"/>
    <w:rsid w:val="00063A3E"/>
    <w:rsid w:val="00067E1B"/>
    <w:rsid w:val="00071C6D"/>
    <w:rsid w:val="00072CAC"/>
    <w:rsid w:val="0007356C"/>
    <w:rsid w:val="0007681A"/>
    <w:rsid w:val="00080B10"/>
    <w:rsid w:val="00090F68"/>
    <w:rsid w:val="000958F2"/>
    <w:rsid w:val="000A542E"/>
    <w:rsid w:val="000C7F69"/>
    <w:rsid w:val="00102B6B"/>
    <w:rsid w:val="001052D4"/>
    <w:rsid w:val="0010644B"/>
    <w:rsid w:val="001207F8"/>
    <w:rsid w:val="00121924"/>
    <w:rsid w:val="001279A8"/>
    <w:rsid w:val="0014195F"/>
    <w:rsid w:val="00152609"/>
    <w:rsid w:val="00153E1B"/>
    <w:rsid w:val="00155145"/>
    <w:rsid w:val="00176E1A"/>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1411"/>
    <w:rsid w:val="00292712"/>
    <w:rsid w:val="002A487D"/>
    <w:rsid w:val="002C2E29"/>
    <w:rsid w:val="002C3041"/>
    <w:rsid w:val="002D1EE3"/>
    <w:rsid w:val="002E4ACF"/>
    <w:rsid w:val="002F1D80"/>
    <w:rsid w:val="00315CA8"/>
    <w:rsid w:val="003232A2"/>
    <w:rsid w:val="00325C14"/>
    <w:rsid w:val="00343232"/>
    <w:rsid w:val="0036422C"/>
    <w:rsid w:val="003710F6"/>
    <w:rsid w:val="00386E88"/>
    <w:rsid w:val="00393F7A"/>
    <w:rsid w:val="00396585"/>
    <w:rsid w:val="003B398A"/>
    <w:rsid w:val="003D6E38"/>
    <w:rsid w:val="003D74A0"/>
    <w:rsid w:val="003F749B"/>
    <w:rsid w:val="004033D8"/>
    <w:rsid w:val="004073F0"/>
    <w:rsid w:val="00412A7D"/>
    <w:rsid w:val="00416B4D"/>
    <w:rsid w:val="00417CFC"/>
    <w:rsid w:val="00435891"/>
    <w:rsid w:val="00452E0B"/>
    <w:rsid w:val="004A06DC"/>
    <w:rsid w:val="004A09CE"/>
    <w:rsid w:val="004A1955"/>
    <w:rsid w:val="004B24ED"/>
    <w:rsid w:val="004B6625"/>
    <w:rsid w:val="004D2D82"/>
    <w:rsid w:val="004D3876"/>
    <w:rsid w:val="004E4552"/>
    <w:rsid w:val="004E6CDF"/>
    <w:rsid w:val="00553C9D"/>
    <w:rsid w:val="00562A66"/>
    <w:rsid w:val="005A434F"/>
    <w:rsid w:val="005B064E"/>
    <w:rsid w:val="005D51AE"/>
    <w:rsid w:val="005D7CC0"/>
    <w:rsid w:val="005E013E"/>
    <w:rsid w:val="0062674B"/>
    <w:rsid w:val="006278BC"/>
    <w:rsid w:val="006363B2"/>
    <w:rsid w:val="00644940"/>
    <w:rsid w:val="006818A9"/>
    <w:rsid w:val="006A2D81"/>
    <w:rsid w:val="006C00BC"/>
    <w:rsid w:val="006C1D0D"/>
    <w:rsid w:val="00700FD3"/>
    <w:rsid w:val="0070601E"/>
    <w:rsid w:val="00712C72"/>
    <w:rsid w:val="007353C3"/>
    <w:rsid w:val="00735FE9"/>
    <w:rsid w:val="00763CAA"/>
    <w:rsid w:val="00765F66"/>
    <w:rsid w:val="0078664F"/>
    <w:rsid w:val="007B678B"/>
    <w:rsid w:val="007C3FA6"/>
    <w:rsid w:val="007D35DF"/>
    <w:rsid w:val="007D585A"/>
    <w:rsid w:val="007D5A12"/>
    <w:rsid w:val="007E59F9"/>
    <w:rsid w:val="00810BCD"/>
    <w:rsid w:val="00812C98"/>
    <w:rsid w:val="0081479C"/>
    <w:rsid w:val="00814D92"/>
    <w:rsid w:val="0083181D"/>
    <w:rsid w:val="00843EB2"/>
    <w:rsid w:val="00862AA8"/>
    <w:rsid w:val="00865572"/>
    <w:rsid w:val="00874BBC"/>
    <w:rsid w:val="00875E98"/>
    <w:rsid w:val="00892135"/>
    <w:rsid w:val="00895449"/>
    <w:rsid w:val="00897879"/>
    <w:rsid w:val="008A6870"/>
    <w:rsid w:val="008C0CF2"/>
    <w:rsid w:val="008C2DDC"/>
    <w:rsid w:val="008C7516"/>
    <w:rsid w:val="008E415C"/>
    <w:rsid w:val="008E6EC7"/>
    <w:rsid w:val="008F0D63"/>
    <w:rsid w:val="008F1308"/>
    <w:rsid w:val="008F29ED"/>
    <w:rsid w:val="008F2C35"/>
    <w:rsid w:val="008F6665"/>
    <w:rsid w:val="00904591"/>
    <w:rsid w:val="00905E5F"/>
    <w:rsid w:val="0091204F"/>
    <w:rsid w:val="00914DD3"/>
    <w:rsid w:val="00917F84"/>
    <w:rsid w:val="009203DB"/>
    <w:rsid w:val="00922B5C"/>
    <w:rsid w:val="00923CD4"/>
    <w:rsid w:val="00930EFE"/>
    <w:rsid w:val="00932450"/>
    <w:rsid w:val="00943386"/>
    <w:rsid w:val="009456B6"/>
    <w:rsid w:val="00957589"/>
    <w:rsid w:val="00963B75"/>
    <w:rsid w:val="00966D06"/>
    <w:rsid w:val="00976217"/>
    <w:rsid w:val="00982412"/>
    <w:rsid w:val="00983A8D"/>
    <w:rsid w:val="009A0DB8"/>
    <w:rsid w:val="009A7257"/>
    <w:rsid w:val="009A7835"/>
    <w:rsid w:val="009C33E0"/>
    <w:rsid w:val="009C6288"/>
    <w:rsid w:val="009D530C"/>
    <w:rsid w:val="009D6E0A"/>
    <w:rsid w:val="009D79EA"/>
    <w:rsid w:val="009E1E33"/>
    <w:rsid w:val="009E78C7"/>
    <w:rsid w:val="00A14672"/>
    <w:rsid w:val="00A26BD6"/>
    <w:rsid w:val="00A443CF"/>
    <w:rsid w:val="00A501EC"/>
    <w:rsid w:val="00A56BD9"/>
    <w:rsid w:val="00A6611D"/>
    <w:rsid w:val="00A82CB7"/>
    <w:rsid w:val="00A942C1"/>
    <w:rsid w:val="00AA2F03"/>
    <w:rsid w:val="00AA6FFA"/>
    <w:rsid w:val="00AC36F7"/>
    <w:rsid w:val="00AC63A4"/>
    <w:rsid w:val="00AC7ACA"/>
    <w:rsid w:val="00AD239E"/>
    <w:rsid w:val="00AD41B8"/>
    <w:rsid w:val="00AD5C62"/>
    <w:rsid w:val="00B10265"/>
    <w:rsid w:val="00B16A99"/>
    <w:rsid w:val="00B21211"/>
    <w:rsid w:val="00B35784"/>
    <w:rsid w:val="00B42E11"/>
    <w:rsid w:val="00B63437"/>
    <w:rsid w:val="00B733A7"/>
    <w:rsid w:val="00B74E88"/>
    <w:rsid w:val="00B75C91"/>
    <w:rsid w:val="00B975AD"/>
    <w:rsid w:val="00BA0331"/>
    <w:rsid w:val="00BC45FB"/>
    <w:rsid w:val="00BC6486"/>
    <w:rsid w:val="00BE1165"/>
    <w:rsid w:val="00BF148D"/>
    <w:rsid w:val="00C23B1A"/>
    <w:rsid w:val="00C275C8"/>
    <w:rsid w:val="00C310EB"/>
    <w:rsid w:val="00C91469"/>
    <w:rsid w:val="00C9176A"/>
    <w:rsid w:val="00CF1AA2"/>
    <w:rsid w:val="00D17774"/>
    <w:rsid w:val="00D63620"/>
    <w:rsid w:val="00D71AF0"/>
    <w:rsid w:val="00D8410D"/>
    <w:rsid w:val="00D867D7"/>
    <w:rsid w:val="00DB4109"/>
    <w:rsid w:val="00DB7060"/>
    <w:rsid w:val="00DE3153"/>
    <w:rsid w:val="00DE4A80"/>
    <w:rsid w:val="00DE4C0D"/>
    <w:rsid w:val="00E06736"/>
    <w:rsid w:val="00E13C27"/>
    <w:rsid w:val="00E33BBD"/>
    <w:rsid w:val="00E351B0"/>
    <w:rsid w:val="00E374F2"/>
    <w:rsid w:val="00E45103"/>
    <w:rsid w:val="00E55A60"/>
    <w:rsid w:val="00E56566"/>
    <w:rsid w:val="00E62778"/>
    <w:rsid w:val="00E63D38"/>
    <w:rsid w:val="00E665B9"/>
    <w:rsid w:val="00E929E0"/>
    <w:rsid w:val="00E94CEF"/>
    <w:rsid w:val="00E96604"/>
    <w:rsid w:val="00EA01E6"/>
    <w:rsid w:val="00EA3DE8"/>
    <w:rsid w:val="00EA758F"/>
    <w:rsid w:val="00ED4A6F"/>
    <w:rsid w:val="00EF3A3A"/>
    <w:rsid w:val="00F13DFD"/>
    <w:rsid w:val="00F524AB"/>
    <w:rsid w:val="00F628D6"/>
    <w:rsid w:val="00F645A1"/>
    <w:rsid w:val="00F67051"/>
    <w:rsid w:val="00F86A1E"/>
    <w:rsid w:val="00F913A9"/>
    <w:rsid w:val="00FA5E88"/>
    <w:rsid w:val="00FE65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AC1DEEC2-4946-492F-AFD9-02558C63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paragraph" w:styleId="ad">
    <w:name w:val="Revision"/>
    <w:hidden/>
    <w:uiPriority w:val="99"/>
    <w:semiHidden/>
    <w:rsid w:val="00B42E11"/>
    <w:rPr>
      <w:rFonts w:ascii="Hadasa Roso SL"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96AA878-C389-4239-ABFA-DF865D293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C55455D3-6814-4769-8D4E-2586189D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533</Words>
  <Characters>2667</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62</cp:revision>
  <cp:lastPrinted>2015-07-23T08:41:00Z</cp:lastPrinted>
  <dcterms:created xsi:type="dcterms:W3CDTF">2015-04-20T09:58:00Z</dcterms:created>
  <dcterms:modified xsi:type="dcterms:W3CDTF">2015-07-23T08:42:00Z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564779</vt:r8>
  </property>
</Properties>
</file>