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568137</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עליזה לביא</w:t>
      </w:r>
      <w:r>
        <w:br/>
      </w:r>
      <w:r>
        <w:rPr>
          <w:rFonts w:hint="cs"/>
          <w:b/>
          <w:bCs/>
          <w:rtl/>
        </w:rPr>
        <w:t xml:space="preserve"> </w:t>
      </w:r>
      <w:r>
        <w:tab/>
      </w:r>
      <w:r>
        <w:tab/>
      </w:r>
      <w:r>
        <w:tab/>
      </w:r>
      <w:r>
        <w:tab/>
      </w:r>
      <w:r>
        <w:rPr>
          <w:rFonts w:hint="cs"/>
          <w:b/>
          <w:bCs/>
          <w:rtl/>
        </w:rPr>
        <w:t>סופה לנדבר</w:t>
      </w:r>
      <w:r>
        <w:br/>
      </w:r>
      <w:r>
        <w:rPr>
          <w:rFonts w:hint="cs"/>
          <w:b/>
          <w:bCs/>
          <w:rtl/>
        </w:rPr>
        <w:t xml:space="preserve"> </w:t>
      </w:r>
      <w:r>
        <w:tab/>
      </w:r>
      <w:r>
        <w:tab/>
      </w:r>
      <w:r>
        <w:tab/>
      </w:r>
      <w:r>
        <w:tab/>
      </w:r>
      <w:r>
        <w:rPr>
          <w:rFonts w:hint="cs"/>
          <w:b/>
          <w:bCs/>
          <w:rtl/>
        </w:rPr>
        <w:t>מיקי לוי</w:t>
      </w:r>
      <w:r>
        <w:br/>
      </w:r>
      <w:r>
        <w:rPr>
          <w:rFonts w:hint="cs"/>
          <w:b/>
          <w:bCs/>
          <w:rtl/>
        </w:rPr>
        <w:t xml:space="preserve"> </w:t>
      </w:r>
      <w:r>
        <w:tab/>
      </w:r>
      <w:r>
        <w:tab/>
      </w:r>
      <w:r>
        <w:tab/>
      </w:r>
      <w:r>
        <w:tab/>
      </w:r>
      <w:r>
        <w:rPr>
          <w:rFonts w:hint="cs"/>
          <w:b/>
          <w:bCs/>
          <w:rtl/>
        </w:rPr>
        <w:t>איילת נחמיאס ורבין</w:t>
      </w:r>
      <w:r>
        <w:br/>
      </w:r>
      <w:r>
        <w:rPr>
          <w:rFonts w:hint="cs"/>
          <w:b/>
          <w:bCs/>
          <w:rtl/>
        </w:rPr>
        <w:t xml:space="preserve"> </w:t>
      </w:r>
      <w:r>
        <w:tab/>
      </w:r>
      <w:r>
        <w:tab/>
      </w:r>
      <w:r>
        <w:tab/>
      </w:r>
      <w:r>
        <w:tab/>
      </w:r>
      <w:r>
        <w:rPr>
          <w:rFonts w:hint="cs"/>
          <w:b/>
          <w:bCs/>
          <w:rtl/>
        </w:rPr>
        <w:t>קסניה סבטלובה</w:t>
      </w:r>
      <w:r>
        <w:br/>
      </w:r>
      <w:r>
        <w:rPr>
          <w:rFonts w:hint="cs"/>
          <w:b/>
          <w:bCs/>
          <w:rtl/>
        </w:rPr>
        <w:t xml:space="preserve"> </w:t>
      </w:r>
      <w:r>
        <w:tab/>
      </w:r>
      <w:r>
        <w:tab/>
      </w:r>
      <w:r>
        <w:tab/>
      </w:r>
      <w:r>
        <w:tab/>
      </w:r>
      <w:r>
        <w:rPr>
          <w:rFonts w:hint="cs"/>
          <w:b/>
          <w:bCs/>
          <w:rtl/>
        </w:rPr>
        <w:t>נחמן שי</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04AC5130" w14:textId="59B6B8C3" w:rsidR="00CE6126" w:rsidRDefault="00904591" w:rsidP="00CE6126">
      <w:pPr>
        <w:pStyle w:val="David"/>
        <w:spacing w:before="0" w:line="240" w:lineRule="auto"/>
        <w:ind w:left="3544"/>
        <w:rPr>
          <w:rtl/>
        </w:rPr>
      </w:pPr>
      <w:r>
        <w:t xml:space="preserve">                                            </w:t>
      </w:r>
      <w:r w:rsidR="008F1308">
        <w:t xml:space="preserve"> </w:t>
      </w:r>
      <w:bookmarkStart w:id="6" w:name="Private_Number"/>
      <w:r>
        <w:rPr>
          <w:rFonts w:hint="cs"/>
          <w:rtl/>
        </w:rPr>
        <w:t>פ/2033/20</w:t>
      </w:r>
      <w:bookmarkEnd w:id="6"/>
      <w:r w:rsidR="003C0C1D">
        <w:rPr>
          <w:rtl/>
        </w:rPr>
        <w:tab/>
      </w:r>
      <w:r w:rsidR="003C0C1D">
        <w:rPr>
          <w:rtl/>
        </w:rPr>
        <w:tab/>
      </w:r>
      <w:r w:rsidR="003C0C1D">
        <w:rPr>
          <w:rtl/>
        </w:rPr>
        <w:tab/>
      </w:r>
    </w:p>
    <w:p w14:paraId="4E88306E" w14:textId="77777777" w:rsidR="00DA33E6" w:rsidRDefault="00DA33E6" w:rsidP="00CE6126">
      <w:pPr>
        <w:pStyle w:val="David"/>
        <w:spacing w:before="0" w:line="240" w:lineRule="auto"/>
        <w:ind w:left="3544"/>
        <w:rPr>
          <w:rtl/>
        </w:rPr>
      </w:pPr>
    </w:p>
    <w:p w14:paraId="34F32B5B" w14:textId="66C94E63" w:rsidR="00CE6126" w:rsidRDefault="00CE6126" w:rsidP="00DA33E6">
      <w:pPr>
        <w:pStyle w:val="HeadHatzaotHok"/>
        <w:tabs>
          <w:tab w:val="left" w:pos="4071"/>
          <w:tab w:val="center" w:pos="4819"/>
        </w:tabs>
        <w:spacing w:before="0"/>
        <w:rPr>
          <w:sz w:val="26"/>
          <w:rtl/>
        </w:rPr>
      </w:pPr>
      <w:bookmarkStart w:id="7" w:name="Title"/>
      <w:r w:rsidRPr="0008147E">
        <w:rPr>
          <w:sz w:val="26"/>
          <w:rtl/>
        </w:rPr>
        <w:t xml:space="preserve">הצעת חוק איסור הונאה בכשרות (תיקון </w:t>
      </w:r>
      <w:r>
        <w:rPr>
          <w:rFonts w:hint="cs"/>
          <w:sz w:val="26"/>
          <w:rtl/>
        </w:rPr>
        <w:t>–</w:t>
      </w:r>
      <w:r w:rsidRPr="0008147E">
        <w:rPr>
          <w:sz w:val="26"/>
          <w:rtl/>
        </w:rPr>
        <w:t xml:space="preserve"> כשרות בל</w:t>
      </w:r>
      <w:r>
        <w:rPr>
          <w:sz w:val="26"/>
          <w:rtl/>
        </w:rPr>
        <w:t>בד ובית אוכל הפתוח בשבת), התשע"</w:t>
      </w:r>
      <w:r>
        <w:rPr>
          <w:rFonts w:hint="cs"/>
          <w:sz w:val="26"/>
          <w:rtl/>
        </w:rPr>
        <w:t>ה–</w:t>
      </w:r>
      <w:r w:rsidRPr="0008147E">
        <w:rPr>
          <w:sz w:val="26"/>
          <w:rtl/>
        </w:rPr>
        <w:t>201</w:t>
      </w:r>
      <w:bookmarkEnd w:id="7"/>
      <w:r w:rsidR="003C0C1D">
        <w:rPr>
          <w:rFonts w:hint="cs"/>
          <w:sz w:val="26"/>
          <w:rtl/>
        </w:rPr>
        <w:t>5</w:t>
      </w:r>
      <w:bookmarkStart w:id="8" w:name="_GoBack"/>
      <w:bookmarkEnd w:id="8"/>
    </w:p>
    <w:tbl>
      <w:tblPr>
        <w:bidiVisual/>
        <w:tblW w:w="9638" w:type="dxa"/>
        <w:tblInd w:w="-8" w:type="dxa"/>
        <w:tblLayout w:type="fixed"/>
        <w:tblCellMar>
          <w:top w:w="57" w:type="dxa"/>
          <w:left w:w="0" w:type="dxa"/>
          <w:bottom w:w="57" w:type="dxa"/>
          <w:right w:w="0" w:type="dxa"/>
        </w:tblCellMar>
        <w:tblLook w:val="0000" w:firstRow="0" w:lastRow="0" w:firstColumn="0" w:lastColumn="0" w:noHBand="0" w:noVBand="0"/>
      </w:tblPr>
      <w:tblGrid>
        <w:gridCol w:w="1869"/>
        <w:gridCol w:w="623"/>
        <w:gridCol w:w="623"/>
        <w:gridCol w:w="623"/>
        <w:gridCol w:w="664"/>
        <w:gridCol w:w="5236"/>
      </w:tblGrid>
      <w:tr w:rsidR="00CE6126" w14:paraId="121C7467" w14:textId="77777777" w:rsidTr="003858A3">
        <w:trPr>
          <w:cantSplit/>
        </w:trPr>
        <w:tc>
          <w:tcPr>
            <w:tcW w:w="1869" w:type="dxa"/>
            <w:tcBorders>
              <w:top w:val="nil"/>
              <w:left w:val="nil"/>
              <w:bottom w:val="nil"/>
              <w:right w:val="nil"/>
            </w:tcBorders>
          </w:tcPr>
          <w:p w14:paraId="6FD31AFF" w14:textId="77777777" w:rsidR="00CE6126" w:rsidRDefault="00CE6126" w:rsidP="003858A3">
            <w:pPr>
              <w:pStyle w:val="TableSideHeading"/>
              <w:keepLines w:val="0"/>
              <w:rPr>
                <w:rtl/>
              </w:rPr>
            </w:pPr>
            <w:r>
              <w:rPr>
                <w:sz w:val="26"/>
                <w:rtl/>
              </w:rPr>
              <w:t>תיקון סעיף 11</w:t>
            </w:r>
          </w:p>
        </w:tc>
        <w:tc>
          <w:tcPr>
            <w:tcW w:w="623" w:type="dxa"/>
            <w:tcBorders>
              <w:top w:val="nil"/>
              <w:left w:val="nil"/>
              <w:bottom w:val="nil"/>
              <w:right w:val="nil"/>
            </w:tcBorders>
          </w:tcPr>
          <w:p w14:paraId="10BF99C8" w14:textId="66BCEDF5" w:rsidR="00CE6126" w:rsidRDefault="003C0C1D" w:rsidP="003C0C1D">
            <w:pPr>
              <w:pStyle w:val="TableText"/>
              <w:keepLines w:val="0"/>
              <w:tabs>
                <w:tab w:val="left" w:pos="0"/>
              </w:tabs>
              <w:rPr>
                <w:rtl/>
              </w:rPr>
            </w:pPr>
            <w:r>
              <w:rPr>
                <w:rtl/>
              </w:rPr>
              <w:t>1.</w:t>
            </w:r>
            <w:r>
              <w:rPr>
                <w:rtl/>
              </w:rPr>
              <w:tab/>
            </w:r>
          </w:p>
        </w:tc>
        <w:tc>
          <w:tcPr>
            <w:tcW w:w="7146" w:type="dxa"/>
            <w:gridSpan w:val="4"/>
            <w:tcBorders>
              <w:top w:val="nil"/>
              <w:left w:val="nil"/>
              <w:bottom w:val="nil"/>
              <w:right w:val="nil"/>
            </w:tcBorders>
          </w:tcPr>
          <w:p w14:paraId="217B4BED" w14:textId="77777777" w:rsidR="00CE6126" w:rsidRDefault="00CE6126" w:rsidP="003858A3">
            <w:pPr>
              <w:pStyle w:val="TableBlock"/>
              <w:rPr>
                <w:rtl/>
              </w:rPr>
            </w:pPr>
            <w:r>
              <w:rPr>
                <w:sz w:val="26"/>
                <w:rtl/>
              </w:rPr>
              <w:t>בחוק איסור הונאה בכשרות, התשמ"ג–1983</w:t>
            </w:r>
            <w:r>
              <w:rPr>
                <w:rStyle w:val="a6"/>
                <w:sz w:val="26"/>
                <w:rtl/>
              </w:rPr>
              <w:footnoteReference w:id="2"/>
            </w:r>
            <w:r>
              <w:rPr>
                <w:sz w:val="26"/>
                <w:rtl/>
              </w:rPr>
              <w:t xml:space="preserve">, בסעיף 11 – </w:t>
            </w:r>
          </w:p>
        </w:tc>
      </w:tr>
      <w:tr w:rsidR="00CE6126" w14:paraId="00EDDC03" w14:textId="77777777" w:rsidTr="003858A3">
        <w:trPr>
          <w:cantSplit/>
        </w:trPr>
        <w:tc>
          <w:tcPr>
            <w:tcW w:w="1869" w:type="dxa"/>
            <w:tcBorders>
              <w:top w:val="nil"/>
              <w:left w:val="nil"/>
              <w:bottom w:val="nil"/>
              <w:right w:val="nil"/>
            </w:tcBorders>
          </w:tcPr>
          <w:p w14:paraId="68AA5AD3" w14:textId="77777777" w:rsidR="00CE6126" w:rsidRDefault="00CE6126" w:rsidP="003858A3">
            <w:pPr>
              <w:pStyle w:val="TableSideHeading"/>
              <w:rPr>
                <w:rtl/>
              </w:rPr>
            </w:pPr>
          </w:p>
        </w:tc>
        <w:tc>
          <w:tcPr>
            <w:tcW w:w="623" w:type="dxa"/>
            <w:tcBorders>
              <w:top w:val="nil"/>
              <w:left w:val="nil"/>
              <w:bottom w:val="nil"/>
              <w:right w:val="nil"/>
            </w:tcBorders>
          </w:tcPr>
          <w:p w14:paraId="6A6B2E76" w14:textId="77777777" w:rsidR="00CE6126" w:rsidRDefault="00CE6126" w:rsidP="003858A3">
            <w:pPr>
              <w:pStyle w:val="TableText"/>
              <w:rPr>
                <w:rtl/>
              </w:rPr>
            </w:pPr>
          </w:p>
        </w:tc>
        <w:tc>
          <w:tcPr>
            <w:tcW w:w="7146" w:type="dxa"/>
            <w:gridSpan w:val="4"/>
            <w:tcBorders>
              <w:top w:val="nil"/>
              <w:left w:val="nil"/>
              <w:bottom w:val="nil"/>
              <w:right w:val="nil"/>
            </w:tcBorders>
          </w:tcPr>
          <w:p w14:paraId="2CE24E98" w14:textId="77777777" w:rsidR="00CE6126" w:rsidRDefault="00CE6126" w:rsidP="003858A3">
            <w:pPr>
              <w:pStyle w:val="TableBlock"/>
              <w:rPr>
                <w:rtl/>
              </w:rPr>
            </w:pPr>
            <w:r>
              <w:rPr>
                <w:sz w:val="26"/>
                <w:rtl/>
              </w:rPr>
              <w:t>(1)</w:t>
            </w:r>
            <w:r>
              <w:rPr>
                <w:sz w:val="26"/>
                <w:rtl/>
              </w:rPr>
              <w:tab/>
              <w:t>האמור בו יסומן "(א)", ובו, אחרי "כשרות" יבוא "המזון";</w:t>
            </w:r>
          </w:p>
        </w:tc>
      </w:tr>
      <w:tr w:rsidR="00CE6126" w14:paraId="1B4A22F4" w14:textId="77777777" w:rsidTr="003858A3">
        <w:trPr>
          <w:cantSplit/>
        </w:trPr>
        <w:tc>
          <w:tcPr>
            <w:tcW w:w="1869" w:type="dxa"/>
            <w:tcBorders>
              <w:top w:val="nil"/>
              <w:left w:val="nil"/>
              <w:bottom w:val="nil"/>
              <w:right w:val="nil"/>
            </w:tcBorders>
          </w:tcPr>
          <w:p w14:paraId="401E1ACF" w14:textId="77777777" w:rsidR="00CE6126" w:rsidRDefault="00CE6126" w:rsidP="003858A3">
            <w:pPr>
              <w:pStyle w:val="TableSideHeading"/>
              <w:rPr>
                <w:rtl/>
              </w:rPr>
            </w:pPr>
          </w:p>
        </w:tc>
        <w:tc>
          <w:tcPr>
            <w:tcW w:w="623" w:type="dxa"/>
            <w:tcBorders>
              <w:top w:val="nil"/>
              <w:left w:val="nil"/>
              <w:bottom w:val="nil"/>
              <w:right w:val="nil"/>
            </w:tcBorders>
          </w:tcPr>
          <w:p w14:paraId="5DF7481F" w14:textId="77777777" w:rsidR="00CE6126" w:rsidRDefault="00CE6126" w:rsidP="003858A3">
            <w:pPr>
              <w:pStyle w:val="TableText"/>
              <w:rPr>
                <w:rtl/>
              </w:rPr>
            </w:pPr>
          </w:p>
        </w:tc>
        <w:tc>
          <w:tcPr>
            <w:tcW w:w="7146" w:type="dxa"/>
            <w:gridSpan w:val="4"/>
            <w:tcBorders>
              <w:top w:val="nil"/>
              <w:left w:val="nil"/>
              <w:bottom w:val="nil"/>
              <w:right w:val="nil"/>
            </w:tcBorders>
          </w:tcPr>
          <w:p w14:paraId="7296B928" w14:textId="77777777" w:rsidR="00CE6126" w:rsidRDefault="00CE6126" w:rsidP="003858A3">
            <w:pPr>
              <w:pStyle w:val="TableBlock"/>
              <w:rPr>
                <w:sz w:val="26"/>
                <w:rtl/>
              </w:rPr>
            </w:pPr>
            <w:r>
              <w:rPr>
                <w:sz w:val="26"/>
                <w:rtl/>
              </w:rPr>
              <w:t>(2)</w:t>
            </w:r>
            <w:r>
              <w:rPr>
                <w:sz w:val="26"/>
                <w:rtl/>
              </w:rPr>
              <w:tab/>
              <w:t>אחרי סעיף קטן (א) יבוא:</w:t>
            </w:r>
          </w:p>
        </w:tc>
      </w:tr>
      <w:tr w:rsidR="00CE6126" w14:paraId="31FA3661" w14:textId="77777777" w:rsidTr="003858A3">
        <w:trPr>
          <w:cantSplit/>
          <w:trHeight w:val="60"/>
        </w:trPr>
        <w:tc>
          <w:tcPr>
            <w:tcW w:w="1869" w:type="dxa"/>
            <w:tcBorders>
              <w:top w:val="nil"/>
              <w:left w:val="nil"/>
              <w:bottom w:val="nil"/>
              <w:right w:val="nil"/>
            </w:tcBorders>
          </w:tcPr>
          <w:p w14:paraId="062BA204" w14:textId="77777777" w:rsidR="00CE6126" w:rsidRDefault="00CE6126" w:rsidP="003858A3">
            <w:pPr>
              <w:pStyle w:val="TableSideHeading"/>
              <w:rPr>
                <w:rtl/>
              </w:rPr>
            </w:pPr>
          </w:p>
        </w:tc>
        <w:tc>
          <w:tcPr>
            <w:tcW w:w="623" w:type="dxa"/>
            <w:tcBorders>
              <w:top w:val="nil"/>
              <w:left w:val="nil"/>
              <w:bottom w:val="nil"/>
              <w:right w:val="nil"/>
            </w:tcBorders>
          </w:tcPr>
          <w:p w14:paraId="52F32FD8" w14:textId="77777777" w:rsidR="00CE6126" w:rsidRDefault="00CE6126" w:rsidP="003858A3">
            <w:pPr>
              <w:pStyle w:val="TableText"/>
              <w:rPr>
                <w:rtl/>
              </w:rPr>
            </w:pPr>
          </w:p>
        </w:tc>
        <w:tc>
          <w:tcPr>
            <w:tcW w:w="623" w:type="dxa"/>
            <w:tcBorders>
              <w:top w:val="nil"/>
              <w:left w:val="nil"/>
              <w:bottom w:val="nil"/>
              <w:right w:val="nil"/>
            </w:tcBorders>
          </w:tcPr>
          <w:p w14:paraId="567F5ABE" w14:textId="77777777" w:rsidR="00CE6126" w:rsidRDefault="00CE6126" w:rsidP="003858A3">
            <w:pPr>
              <w:pStyle w:val="TableText"/>
              <w:rPr>
                <w:rtl/>
              </w:rPr>
            </w:pPr>
          </w:p>
        </w:tc>
        <w:tc>
          <w:tcPr>
            <w:tcW w:w="6523" w:type="dxa"/>
            <w:gridSpan w:val="3"/>
            <w:tcBorders>
              <w:top w:val="nil"/>
              <w:left w:val="nil"/>
              <w:bottom w:val="nil"/>
              <w:right w:val="nil"/>
            </w:tcBorders>
          </w:tcPr>
          <w:p w14:paraId="6EC90CBA" w14:textId="77777777" w:rsidR="00CE6126" w:rsidRPr="00F24FFC" w:rsidRDefault="00CE6126" w:rsidP="003858A3">
            <w:pPr>
              <w:pStyle w:val="TableBlock"/>
              <w:rPr>
                <w:sz w:val="26"/>
                <w:rtl/>
              </w:rPr>
            </w:pPr>
            <w:r>
              <w:rPr>
                <w:rFonts w:hint="cs"/>
                <w:sz w:val="26"/>
                <w:rtl/>
              </w:rPr>
              <w:t>"(ב)</w:t>
            </w:r>
            <w:r>
              <w:rPr>
                <w:sz w:val="26"/>
                <w:rtl/>
              </w:rPr>
              <w:tab/>
            </w:r>
            <w:r>
              <w:rPr>
                <w:rFonts w:hint="cs"/>
                <w:sz w:val="26"/>
                <w:rtl/>
              </w:rPr>
              <w:t>ב</w:t>
            </w:r>
            <w:r>
              <w:rPr>
                <w:sz w:val="26"/>
                <w:rtl/>
              </w:rPr>
              <w:t xml:space="preserve">לי לגרוע מהוראות סעיף קטן (א), בבואו לתת תעודת הכשר, נותן הכשרות לא ישקול שיקולים אלה: </w:t>
            </w:r>
          </w:p>
        </w:tc>
      </w:tr>
      <w:tr w:rsidR="00CE6126" w14:paraId="5E41F65E" w14:textId="77777777" w:rsidTr="003858A3">
        <w:trPr>
          <w:cantSplit/>
          <w:trHeight w:val="60"/>
        </w:trPr>
        <w:tc>
          <w:tcPr>
            <w:tcW w:w="1869" w:type="dxa"/>
            <w:tcBorders>
              <w:top w:val="nil"/>
              <w:left w:val="nil"/>
              <w:bottom w:val="nil"/>
              <w:right w:val="nil"/>
            </w:tcBorders>
          </w:tcPr>
          <w:p w14:paraId="6704F5FC" w14:textId="77777777" w:rsidR="00CE6126" w:rsidRDefault="00CE6126" w:rsidP="003858A3">
            <w:pPr>
              <w:pStyle w:val="TableSideHeading"/>
              <w:rPr>
                <w:rtl/>
              </w:rPr>
            </w:pPr>
          </w:p>
        </w:tc>
        <w:tc>
          <w:tcPr>
            <w:tcW w:w="623" w:type="dxa"/>
            <w:tcBorders>
              <w:top w:val="nil"/>
              <w:left w:val="nil"/>
              <w:bottom w:val="nil"/>
              <w:right w:val="nil"/>
            </w:tcBorders>
          </w:tcPr>
          <w:p w14:paraId="445DC114" w14:textId="77777777" w:rsidR="00CE6126" w:rsidRDefault="00CE6126" w:rsidP="003858A3">
            <w:pPr>
              <w:pStyle w:val="TableText"/>
              <w:rPr>
                <w:rtl/>
              </w:rPr>
            </w:pPr>
          </w:p>
        </w:tc>
        <w:tc>
          <w:tcPr>
            <w:tcW w:w="623" w:type="dxa"/>
            <w:tcBorders>
              <w:top w:val="nil"/>
              <w:left w:val="nil"/>
              <w:bottom w:val="nil"/>
              <w:right w:val="nil"/>
            </w:tcBorders>
          </w:tcPr>
          <w:p w14:paraId="5BC4F1C2" w14:textId="77777777" w:rsidR="00CE6126" w:rsidRDefault="00CE6126" w:rsidP="003858A3">
            <w:pPr>
              <w:pStyle w:val="TableText"/>
              <w:rPr>
                <w:rtl/>
              </w:rPr>
            </w:pPr>
          </w:p>
        </w:tc>
        <w:tc>
          <w:tcPr>
            <w:tcW w:w="623" w:type="dxa"/>
            <w:tcBorders>
              <w:top w:val="nil"/>
              <w:left w:val="nil"/>
              <w:bottom w:val="nil"/>
              <w:right w:val="nil"/>
            </w:tcBorders>
          </w:tcPr>
          <w:p w14:paraId="2D7B82FC" w14:textId="77777777" w:rsidR="00CE6126" w:rsidRDefault="00CE6126" w:rsidP="003858A3">
            <w:pPr>
              <w:pStyle w:val="TableText"/>
              <w:rPr>
                <w:rtl/>
              </w:rPr>
            </w:pPr>
          </w:p>
        </w:tc>
        <w:tc>
          <w:tcPr>
            <w:tcW w:w="5900" w:type="dxa"/>
            <w:gridSpan w:val="2"/>
            <w:tcBorders>
              <w:top w:val="nil"/>
              <w:left w:val="nil"/>
              <w:right w:val="nil"/>
            </w:tcBorders>
          </w:tcPr>
          <w:p w14:paraId="765CB969" w14:textId="77777777" w:rsidR="00CE6126" w:rsidRDefault="00CE6126" w:rsidP="003858A3">
            <w:pPr>
              <w:pStyle w:val="TableBlock"/>
              <w:rPr>
                <w:rtl/>
              </w:rPr>
            </w:pPr>
            <w:r>
              <w:rPr>
                <w:sz w:val="26"/>
                <w:rtl/>
              </w:rPr>
              <w:t>(1)</w:t>
            </w:r>
            <w:r>
              <w:rPr>
                <w:sz w:val="26"/>
                <w:rtl/>
              </w:rPr>
              <w:tab/>
              <w:t>הצגת מופעים שונים בבית האוכל;</w:t>
            </w:r>
          </w:p>
        </w:tc>
      </w:tr>
      <w:tr w:rsidR="00CE6126" w14:paraId="0AD3BA1A" w14:textId="77777777" w:rsidTr="003858A3">
        <w:trPr>
          <w:cantSplit/>
          <w:trHeight w:val="60"/>
        </w:trPr>
        <w:tc>
          <w:tcPr>
            <w:tcW w:w="1869" w:type="dxa"/>
            <w:tcBorders>
              <w:top w:val="nil"/>
              <w:left w:val="nil"/>
              <w:bottom w:val="nil"/>
              <w:right w:val="nil"/>
            </w:tcBorders>
          </w:tcPr>
          <w:p w14:paraId="23954C7E" w14:textId="77777777" w:rsidR="00CE6126" w:rsidRDefault="00CE6126" w:rsidP="003858A3">
            <w:pPr>
              <w:pStyle w:val="TableSideHeading"/>
              <w:rPr>
                <w:rtl/>
              </w:rPr>
            </w:pPr>
          </w:p>
        </w:tc>
        <w:tc>
          <w:tcPr>
            <w:tcW w:w="623" w:type="dxa"/>
            <w:tcBorders>
              <w:top w:val="nil"/>
              <w:left w:val="nil"/>
              <w:bottom w:val="nil"/>
              <w:right w:val="nil"/>
            </w:tcBorders>
          </w:tcPr>
          <w:p w14:paraId="31A4372B" w14:textId="77777777" w:rsidR="00CE6126" w:rsidRDefault="00CE6126" w:rsidP="003858A3">
            <w:pPr>
              <w:pStyle w:val="TableText"/>
              <w:rPr>
                <w:rtl/>
              </w:rPr>
            </w:pPr>
          </w:p>
        </w:tc>
        <w:tc>
          <w:tcPr>
            <w:tcW w:w="623" w:type="dxa"/>
            <w:tcBorders>
              <w:top w:val="nil"/>
              <w:left w:val="nil"/>
              <w:bottom w:val="nil"/>
              <w:right w:val="nil"/>
            </w:tcBorders>
          </w:tcPr>
          <w:p w14:paraId="03E54BB6" w14:textId="77777777" w:rsidR="00CE6126" w:rsidRDefault="00CE6126" w:rsidP="003858A3">
            <w:pPr>
              <w:pStyle w:val="TableText"/>
              <w:rPr>
                <w:rtl/>
              </w:rPr>
            </w:pPr>
          </w:p>
        </w:tc>
        <w:tc>
          <w:tcPr>
            <w:tcW w:w="623" w:type="dxa"/>
            <w:tcBorders>
              <w:top w:val="nil"/>
              <w:left w:val="nil"/>
              <w:bottom w:val="nil"/>
              <w:right w:val="nil"/>
            </w:tcBorders>
          </w:tcPr>
          <w:p w14:paraId="0E96257D" w14:textId="77777777" w:rsidR="00CE6126" w:rsidRDefault="00CE6126" w:rsidP="003858A3">
            <w:pPr>
              <w:pStyle w:val="TableText"/>
              <w:rPr>
                <w:rtl/>
              </w:rPr>
            </w:pPr>
          </w:p>
        </w:tc>
        <w:tc>
          <w:tcPr>
            <w:tcW w:w="5900" w:type="dxa"/>
            <w:gridSpan w:val="2"/>
            <w:tcBorders>
              <w:top w:val="nil"/>
              <w:left w:val="nil"/>
              <w:right w:val="nil"/>
            </w:tcBorders>
          </w:tcPr>
          <w:p w14:paraId="3128F1DF" w14:textId="77777777" w:rsidR="00CE6126" w:rsidRDefault="00CE6126" w:rsidP="003858A3">
            <w:pPr>
              <w:pStyle w:val="TableBlock"/>
              <w:rPr>
                <w:rtl/>
              </w:rPr>
            </w:pPr>
            <w:r>
              <w:rPr>
                <w:sz w:val="26"/>
                <w:rtl/>
              </w:rPr>
              <w:t>(2)</w:t>
            </w:r>
            <w:r>
              <w:rPr>
                <w:sz w:val="26"/>
                <w:rtl/>
              </w:rPr>
              <w:tab/>
              <w:t>עריכת טקסים שונים בבית האוכל;</w:t>
            </w:r>
          </w:p>
        </w:tc>
      </w:tr>
      <w:tr w:rsidR="00CE6126" w14:paraId="18DA1F77" w14:textId="77777777" w:rsidTr="003858A3">
        <w:trPr>
          <w:cantSplit/>
          <w:trHeight w:val="60"/>
        </w:trPr>
        <w:tc>
          <w:tcPr>
            <w:tcW w:w="1869" w:type="dxa"/>
            <w:tcBorders>
              <w:top w:val="nil"/>
              <w:left w:val="nil"/>
              <w:bottom w:val="nil"/>
              <w:right w:val="nil"/>
            </w:tcBorders>
          </w:tcPr>
          <w:p w14:paraId="779732DC" w14:textId="77777777" w:rsidR="00CE6126" w:rsidRDefault="00CE6126" w:rsidP="003858A3">
            <w:pPr>
              <w:pStyle w:val="TableSideHeading"/>
              <w:rPr>
                <w:rtl/>
              </w:rPr>
            </w:pPr>
          </w:p>
        </w:tc>
        <w:tc>
          <w:tcPr>
            <w:tcW w:w="623" w:type="dxa"/>
            <w:tcBorders>
              <w:top w:val="nil"/>
              <w:left w:val="nil"/>
              <w:bottom w:val="nil"/>
              <w:right w:val="nil"/>
            </w:tcBorders>
          </w:tcPr>
          <w:p w14:paraId="7E8723B2" w14:textId="77777777" w:rsidR="00CE6126" w:rsidRDefault="00CE6126" w:rsidP="003858A3">
            <w:pPr>
              <w:pStyle w:val="TableText"/>
              <w:rPr>
                <w:rtl/>
              </w:rPr>
            </w:pPr>
          </w:p>
        </w:tc>
        <w:tc>
          <w:tcPr>
            <w:tcW w:w="623" w:type="dxa"/>
            <w:tcBorders>
              <w:top w:val="nil"/>
              <w:left w:val="nil"/>
              <w:bottom w:val="nil"/>
              <w:right w:val="nil"/>
            </w:tcBorders>
          </w:tcPr>
          <w:p w14:paraId="21715495" w14:textId="77777777" w:rsidR="00CE6126" w:rsidRDefault="00CE6126" w:rsidP="003858A3">
            <w:pPr>
              <w:pStyle w:val="TableText"/>
              <w:rPr>
                <w:rtl/>
              </w:rPr>
            </w:pPr>
          </w:p>
        </w:tc>
        <w:tc>
          <w:tcPr>
            <w:tcW w:w="623" w:type="dxa"/>
            <w:tcBorders>
              <w:top w:val="nil"/>
              <w:left w:val="nil"/>
              <w:bottom w:val="nil"/>
            </w:tcBorders>
          </w:tcPr>
          <w:p w14:paraId="13C6A7C8" w14:textId="77777777" w:rsidR="00CE6126" w:rsidRDefault="00CE6126" w:rsidP="003858A3">
            <w:pPr>
              <w:pStyle w:val="TableText"/>
              <w:rPr>
                <w:rtl/>
              </w:rPr>
            </w:pPr>
          </w:p>
        </w:tc>
        <w:tc>
          <w:tcPr>
            <w:tcW w:w="5900" w:type="dxa"/>
            <w:gridSpan w:val="2"/>
          </w:tcPr>
          <w:p w14:paraId="471F5A5B" w14:textId="77777777" w:rsidR="00CE6126" w:rsidRDefault="00CE6126" w:rsidP="003858A3">
            <w:pPr>
              <w:pStyle w:val="TableBlock"/>
              <w:rPr>
                <w:rtl/>
              </w:rPr>
            </w:pPr>
            <w:r>
              <w:rPr>
                <w:sz w:val="26"/>
                <w:rtl/>
              </w:rPr>
              <w:t>(3)</w:t>
            </w:r>
            <w:r>
              <w:rPr>
                <w:sz w:val="26"/>
                <w:rtl/>
              </w:rPr>
              <w:tab/>
              <w:t>פתיחת בית האוכל בשבת או במועדי ישראל</w:t>
            </w:r>
            <w:r>
              <w:rPr>
                <w:rFonts w:hint="cs"/>
                <w:sz w:val="26"/>
                <w:rtl/>
              </w:rPr>
              <w:t>, ובלבד שיתקיימו כל אלה</w:t>
            </w:r>
            <w:r>
              <w:rPr>
                <w:rFonts w:hint="cs"/>
                <w:rtl/>
              </w:rPr>
              <w:t>:</w:t>
            </w:r>
          </w:p>
        </w:tc>
      </w:tr>
      <w:tr w:rsidR="00CE6126" w14:paraId="0F36085E" w14:textId="77777777" w:rsidTr="003858A3">
        <w:trPr>
          <w:cantSplit/>
          <w:trHeight w:val="60"/>
        </w:trPr>
        <w:tc>
          <w:tcPr>
            <w:tcW w:w="1869" w:type="dxa"/>
            <w:tcBorders>
              <w:top w:val="nil"/>
              <w:left w:val="nil"/>
              <w:bottom w:val="nil"/>
              <w:right w:val="nil"/>
            </w:tcBorders>
          </w:tcPr>
          <w:p w14:paraId="02F5D9DF" w14:textId="77777777" w:rsidR="00CE6126" w:rsidRDefault="00CE6126" w:rsidP="003858A3">
            <w:pPr>
              <w:pStyle w:val="TableSideHeading"/>
              <w:rPr>
                <w:rtl/>
              </w:rPr>
            </w:pPr>
          </w:p>
        </w:tc>
        <w:tc>
          <w:tcPr>
            <w:tcW w:w="623" w:type="dxa"/>
            <w:tcBorders>
              <w:top w:val="nil"/>
              <w:left w:val="nil"/>
              <w:bottom w:val="nil"/>
              <w:right w:val="nil"/>
            </w:tcBorders>
          </w:tcPr>
          <w:p w14:paraId="2CB3F7FC" w14:textId="77777777" w:rsidR="00CE6126" w:rsidRDefault="00CE6126" w:rsidP="003858A3">
            <w:pPr>
              <w:pStyle w:val="TableText"/>
              <w:rPr>
                <w:rtl/>
              </w:rPr>
            </w:pPr>
          </w:p>
        </w:tc>
        <w:tc>
          <w:tcPr>
            <w:tcW w:w="623" w:type="dxa"/>
            <w:tcBorders>
              <w:top w:val="nil"/>
              <w:left w:val="nil"/>
              <w:bottom w:val="nil"/>
              <w:right w:val="nil"/>
            </w:tcBorders>
          </w:tcPr>
          <w:p w14:paraId="0F3D4C54" w14:textId="77777777" w:rsidR="00CE6126" w:rsidRDefault="00CE6126" w:rsidP="003858A3">
            <w:pPr>
              <w:pStyle w:val="TableText"/>
              <w:rPr>
                <w:rtl/>
              </w:rPr>
            </w:pPr>
          </w:p>
        </w:tc>
        <w:tc>
          <w:tcPr>
            <w:tcW w:w="623" w:type="dxa"/>
            <w:tcBorders>
              <w:top w:val="nil"/>
              <w:left w:val="nil"/>
              <w:bottom w:val="nil"/>
            </w:tcBorders>
          </w:tcPr>
          <w:p w14:paraId="3DA5EB76" w14:textId="77777777" w:rsidR="00CE6126" w:rsidRDefault="00CE6126" w:rsidP="003858A3">
            <w:pPr>
              <w:pStyle w:val="TableText"/>
              <w:rPr>
                <w:rtl/>
              </w:rPr>
            </w:pPr>
          </w:p>
        </w:tc>
        <w:tc>
          <w:tcPr>
            <w:tcW w:w="664" w:type="dxa"/>
          </w:tcPr>
          <w:p w14:paraId="2146E982" w14:textId="77777777" w:rsidR="00CE6126" w:rsidRDefault="00CE6126" w:rsidP="003858A3">
            <w:pPr>
              <w:pStyle w:val="TableBlock"/>
              <w:rPr>
                <w:sz w:val="26"/>
                <w:rtl/>
              </w:rPr>
            </w:pPr>
          </w:p>
        </w:tc>
        <w:tc>
          <w:tcPr>
            <w:tcW w:w="5236" w:type="dxa"/>
          </w:tcPr>
          <w:p w14:paraId="3878D953" w14:textId="77777777" w:rsidR="00CE6126" w:rsidRDefault="00CE6126" w:rsidP="003858A3">
            <w:pPr>
              <w:pStyle w:val="TableBlock"/>
              <w:rPr>
                <w:sz w:val="26"/>
                <w:rtl/>
              </w:rPr>
            </w:pPr>
            <w:r>
              <w:rPr>
                <w:rFonts w:hint="cs"/>
                <w:sz w:val="26"/>
                <w:rtl/>
              </w:rPr>
              <w:t>(א)</w:t>
            </w:r>
            <w:r>
              <w:rPr>
                <w:sz w:val="26"/>
                <w:rtl/>
              </w:rPr>
              <w:tab/>
            </w:r>
            <w:r>
              <w:rPr>
                <w:rFonts w:hint="cs"/>
                <w:sz w:val="26"/>
                <w:rtl/>
              </w:rPr>
              <w:t>בבית האוכל יהיו מערכות כלים נפרדות לימי שבת ולימי חול.</w:t>
            </w:r>
          </w:p>
        </w:tc>
      </w:tr>
      <w:tr w:rsidR="00CE6126" w14:paraId="5BB9855B" w14:textId="77777777" w:rsidTr="003858A3">
        <w:trPr>
          <w:cantSplit/>
          <w:trHeight w:val="60"/>
        </w:trPr>
        <w:tc>
          <w:tcPr>
            <w:tcW w:w="1869" w:type="dxa"/>
            <w:tcBorders>
              <w:top w:val="nil"/>
              <w:left w:val="nil"/>
              <w:bottom w:val="nil"/>
              <w:right w:val="nil"/>
            </w:tcBorders>
          </w:tcPr>
          <w:p w14:paraId="26EBAF01" w14:textId="77777777" w:rsidR="00CE6126" w:rsidRPr="005963AE" w:rsidRDefault="00CE6126" w:rsidP="003858A3">
            <w:pPr>
              <w:pStyle w:val="TableSideHeading"/>
              <w:rPr>
                <w:rtl/>
              </w:rPr>
            </w:pPr>
          </w:p>
        </w:tc>
        <w:tc>
          <w:tcPr>
            <w:tcW w:w="623" w:type="dxa"/>
            <w:tcBorders>
              <w:top w:val="nil"/>
              <w:left w:val="nil"/>
              <w:bottom w:val="nil"/>
              <w:right w:val="nil"/>
            </w:tcBorders>
          </w:tcPr>
          <w:p w14:paraId="3AA57D53" w14:textId="77777777" w:rsidR="00CE6126" w:rsidRDefault="00CE6126" w:rsidP="003858A3">
            <w:pPr>
              <w:pStyle w:val="TableText"/>
              <w:rPr>
                <w:rtl/>
              </w:rPr>
            </w:pPr>
          </w:p>
        </w:tc>
        <w:tc>
          <w:tcPr>
            <w:tcW w:w="623" w:type="dxa"/>
            <w:tcBorders>
              <w:top w:val="nil"/>
              <w:left w:val="nil"/>
              <w:bottom w:val="nil"/>
              <w:right w:val="nil"/>
            </w:tcBorders>
          </w:tcPr>
          <w:p w14:paraId="79C5A953" w14:textId="77777777" w:rsidR="00CE6126" w:rsidRDefault="00CE6126" w:rsidP="003858A3">
            <w:pPr>
              <w:pStyle w:val="TableText"/>
              <w:rPr>
                <w:rtl/>
              </w:rPr>
            </w:pPr>
          </w:p>
        </w:tc>
        <w:tc>
          <w:tcPr>
            <w:tcW w:w="623" w:type="dxa"/>
            <w:tcBorders>
              <w:top w:val="nil"/>
              <w:left w:val="nil"/>
              <w:bottom w:val="nil"/>
            </w:tcBorders>
          </w:tcPr>
          <w:p w14:paraId="2EFDBCA1" w14:textId="77777777" w:rsidR="00CE6126" w:rsidRDefault="00CE6126" w:rsidP="003858A3">
            <w:pPr>
              <w:pStyle w:val="TableText"/>
              <w:rPr>
                <w:rtl/>
              </w:rPr>
            </w:pPr>
          </w:p>
        </w:tc>
        <w:tc>
          <w:tcPr>
            <w:tcW w:w="664" w:type="dxa"/>
          </w:tcPr>
          <w:p w14:paraId="573A407B" w14:textId="77777777" w:rsidR="00CE6126" w:rsidRDefault="00CE6126" w:rsidP="003858A3">
            <w:pPr>
              <w:pStyle w:val="TableBlock"/>
              <w:rPr>
                <w:sz w:val="26"/>
                <w:rtl/>
              </w:rPr>
            </w:pPr>
          </w:p>
        </w:tc>
        <w:tc>
          <w:tcPr>
            <w:tcW w:w="5236" w:type="dxa"/>
          </w:tcPr>
          <w:p w14:paraId="70C8A046" w14:textId="77777777" w:rsidR="00CE6126" w:rsidRDefault="00CE6126" w:rsidP="003858A3">
            <w:pPr>
              <w:pStyle w:val="TableBlock"/>
              <w:rPr>
                <w:sz w:val="26"/>
                <w:rtl/>
              </w:rPr>
            </w:pPr>
            <w:r>
              <w:rPr>
                <w:rFonts w:hint="cs"/>
                <w:sz w:val="26"/>
                <w:rtl/>
              </w:rPr>
              <w:t>(ב)</w:t>
            </w:r>
            <w:r>
              <w:rPr>
                <w:sz w:val="26"/>
                <w:rtl/>
              </w:rPr>
              <w:tab/>
            </w:r>
            <w:r>
              <w:rPr>
                <w:rFonts w:hint="cs"/>
                <w:sz w:val="26"/>
                <w:rtl/>
              </w:rPr>
              <w:t xml:space="preserve">הפרדה בין מערכות הכלים תעשה באמצעות שמירתם של כלי האוכל המופרדים במקום נעול כשאינם בשימוש. </w:t>
            </w:r>
          </w:p>
        </w:tc>
      </w:tr>
      <w:tr w:rsidR="00CE6126" w14:paraId="734EAD80" w14:textId="77777777" w:rsidTr="003858A3">
        <w:trPr>
          <w:cantSplit/>
          <w:trHeight w:val="60"/>
        </w:trPr>
        <w:tc>
          <w:tcPr>
            <w:tcW w:w="1869" w:type="dxa"/>
            <w:tcBorders>
              <w:top w:val="nil"/>
              <w:left w:val="nil"/>
              <w:bottom w:val="nil"/>
              <w:right w:val="nil"/>
            </w:tcBorders>
          </w:tcPr>
          <w:p w14:paraId="773DCB7F" w14:textId="77777777" w:rsidR="00CE6126" w:rsidRDefault="00CE6126" w:rsidP="003858A3">
            <w:pPr>
              <w:pStyle w:val="TableSideHeading"/>
              <w:rPr>
                <w:rtl/>
              </w:rPr>
            </w:pPr>
          </w:p>
        </w:tc>
        <w:tc>
          <w:tcPr>
            <w:tcW w:w="623" w:type="dxa"/>
            <w:tcBorders>
              <w:top w:val="nil"/>
              <w:left w:val="nil"/>
              <w:bottom w:val="nil"/>
              <w:right w:val="nil"/>
            </w:tcBorders>
          </w:tcPr>
          <w:p w14:paraId="18B4C65E" w14:textId="77777777" w:rsidR="00CE6126" w:rsidRDefault="00CE6126" w:rsidP="003858A3">
            <w:pPr>
              <w:pStyle w:val="TableText"/>
              <w:rPr>
                <w:rtl/>
              </w:rPr>
            </w:pPr>
          </w:p>
        </w:tc>
        <w:tc>
          <w:tcPr>
            <w:tcW w:w="623" w:type="dxa"/>
            <w:tcBorders>
              <w:top w:val="nil"/>
              <w:left w:val="nil"/>
              <w:bottom w:val="nil"/>
              <w:right w:val="nil"/>
            </w:tcBorders>
          </w:tcPr>
          <w:p w14:paraId="6A2AC81B" w14:textId="77777777" w:rsidR="00CE6126" w:rsidRDefault="00CE6126" w:rsidP="003858A3">
            <w:pPr>
              <w:pStyle w:val="TableText"/>
              <w:rPr>
                <w:rtl/>
              </w:rPr>
            </w:pPr>
          </w:p>
        </w:tc>
        <w:tc>
          <w:tcPr>
            <w:tcW w:w="623" w:type="dxa"/>
            <w:tcBorders>
              <w:top w:val="nil"/>
              <w:left w:val="nil"/>
              <w:bottom w:val="nil"/>
            </w:tcBorders>
          </w:tcPr>
          <w:p w14:paraId="064BAA59" w14:textId="77777777" w:rsidR="00CE6126" w:rsidRDefault="00CE6126" w:rsidP="003858A3">
            <w:pPr>
              <w:pStyle w:val="TableText"/>
              <w:rPr>
                <w:rtl/>
              </w:rPr>
            </w:pPr>
          </w:p>
        </w:tc>
        <w:tc>
          <w:tcPr>
            <w:tcW w:w="664" w:type="dxa"/>
          </w:tcPr>
          <w:p w14:paraId="1FD2D972" w14:textId="77777777" w:rsidR="00CE6126" w:rsidRDefault="00CE6126" w:rsidP="003858A3">
            <w:pPr>
              <w:pStyle w:val="TableBlock"/>
              <w:rPr>
                <w:sz w:val="26"/>
                <w:rtl/>
              </w:rPr>
            </w:pPr>
          </w:p>
        </w:tc>
        <w:tc>
          <w:tcPr>
            <w:tcW w:w="5236" w:type="dxa"/>
          </w:tcPr>
          <w:p w14:paraId="76ECBE55" w14:textId="77777777" w:rsidR="00CE6126" w:rsidRDefault="00CE6126" w:rsidP="003858A3">
            <w:pPr>
              <w:pStyle w:val="TableBlock"/>
              <w:rPr>
                <w:sz w:val="26"/>
                <w:rtl/>
              </w:rPr>
            </w:pPr>
            <w:r>
              <w:rPr>
                <w:rFonts w:hint="cs"/>
                <w:sz w:val="26"/>
                <w:rtl/>
              </w:rPr>
              <w:t>(ג)</w:t>
            </w:r>
            <w:r>
              <w:rPr>
                <w:sz w:val="26"/>
                <w:rtl/>
              </w:rPr>
              <w:tab/>
            </w:r>
            <w:r>
              <w:rPr>
                <w:rFonts w:hint="cs"/>
                <w:sz w:val="26"/>
                <w:rtl/>
              </w:rPr>
              <w:t>בתעודת ההכשר יצויין כי הכשרות היא "לימי החול בלבד".</w:t>
            </w:r>
          </w:p>
        </w:tc>
      </w:tr>
      <w:tr w:rsidR="00CE6126" w14:paraId="3729E6DF" w14:textId="77777777" w:rsidTr="003858A3">
        <w:trPr>
          <w:cantSplit/>
          <w:trHeight w:val="60"/>
        </w:trPr>
        <w:tc>
          <w:tcPr>
            <w:tcW w:w="1869" w:type="dxa"/>
            <w:tcBorders>
              <w:top w:val="nil"/>
              <w:left w:val="nil"/>
              <w:bottom w:val="nil"/>
              <w:right w:val="nil"/>
            </w:tcBorders>
          </w:tcPr>
          <w:p w14:paraId="2C62F3A0" w14:textId="77777777" w:rsidR="00CE6126" w:rsidRDefault="00CE6126" w:rsidP="003858A3">
            <w:pPr>
              <w:pStyle w:val="TableSideHeading"/>
              <w:rPr>
                <w:rtl/>
              </w:rPr>
            </w:pPr>
          </w:p>
        </w:tc>
        <w:tc>
          <w:tcPr>
            <w:tcW w:w="623" w:type="dxa"/>
            <w:tcBorders>
              <w:top w:val="nil"/>
              <w:left w:val="nil"/>
              <w:bottom w:val="nil"/>
              <w:right w:val="nil"/>
            </w:tcBorders>
          </w:tcPr>
          <w:p w14:paraId="6B28F8CB" w14:textId="77777777" w:rsidR="00CE6126" w:rsidRDefault="00CE6126" w:rsidP="003858A3">
            <w:pPr>
              <w:pStyle w:val="TableText"/>
              <w:rPr>
                <w:rtl/>
              </w:rPr>
            </w:pPr>
          </w:p>
        </w:tc>
        <w:tc>
          <w:tcPr>
            <w:tcW w:w="623" w:type="dxa"/>
            <w:tcBorders>
              <w:top w:val="nil"/>
              <w:left w:val="nil"/>
              <w:bottom w:val="nil"/>
              <w:right w:val="nil"/>
            </w:tcBorders>
          </w:tcPr>
          <w:p w14:paraId="1DDD8261" w14:textId="77777777" w:rsidR="00CE6126" w:rsidRDefault="00CE6126" w:rsidP="003858A3">
            <w:pPr>
              <w:pStyle w:val="TableText"/>
              <w:rPr>
                <w:rtl/>
              </w:rPr>
            </w:pPr>
          </w:p>
        </w:tc>
        <w:tc>
          <w:tcPr>
            <w:tcW w:w="623" w:type="dxa"/>
            <w:tcBorders>
              <w:top w:val="nil"/>
              <w:left w:val="nil"/>
              <w:bottom w:val="nil"/>
            </w:tcBorders>
          </w:tcPr>
          <w:p w14:paraId="55DF75D0" w14:textId="77777777" w:rsidR="00CE6126" w:rsidRDefault="00CE6126" w:rsidP="003858A3">
            <w:pPr>
              <w:pStyle w:val="TableText"/>
              <w:rPr>
                <w:rtl/>
              </w:rPr>
            </w:pPr>
          </w:p>
        </w:tc>
        <w:tc>
          <w:tcPr>
            <w:tcW w:w="5900" w:type="dxa"/>
            <w:gridSpan w:val="2"/>
          </w:tcPr>
          <w:p w14:paraId="78B79DB3" w14:textId="77777777" w:rsidR="00CE6126" w:rsidRDefault="00CE6126" w:rsidP="003858A3">
            <w:pPr>
              <w:pStyle w:val="TableBlock"/>
              <w:rPr>
                <w:rtl/>
              </w:rPr>
            </w:pPr>
            <w:r>
              <w:rPr>
                <w:sz w:val="26"/>
                <w:rtl/>
              </w:rPr>
              <w:t>(4)</w:t>
            </w:r>
            <w:r>
              <w:rPr>
                <w:sz w:val="26"/>
                <w:rtl/>
              </w:rPr>
              <w:tab/>
              <w:t>שיקולים הנוגעים להשתייכותו הדתית של מבקש תעודת ההכשר;</w:t>
            </w:r>
          </w:p>
        </w:tc>
      </w:tr>
      <w:tr w:rsidR="00CE6126" w14:paraId="0E6952DA" w14:textId="77777777" w:rsidTr="003858A3">
        <w:trPr>
          <w:cantSplit/>
          <w:trHeight w:val="60"/>
        </w:trPr>
        <w:tc>
          <w:tcPr>
            <w:tcW w:w="1869" w:type="dxa"/>
            <w:tcBorders>
              <w:top w:val="nil"/>
              <w:left w:val="nil"/>
              <w:bottom w:val="nil"/>
              <w:right w:val="nil"/>
            </w:tcBorders>
          </w:tcPr>
          <w:p w14:paraId="5D8AC2D1" w14:textId="77777777" w:rsidR="00CE6126" w:rsidRDefault="00CE6126" w:rsidP="003858A3">
            <w:pPr>
              <w:pStyle w:val="TableSideHeading"/>
              <w:rPr>
                <w:rtl/>
              </w:rPr>
            </w:pPr>
          </w:p>
        </w:tc>
        <w:tc>
          <w:tcPr>
            <w:tcW w:w="623" w:type="dxa"/>
            <w:tcBorders>
              <w:top w:val="nil"/>
              <w:left w:val="nil"/>
              <w:bottom w:val="nil"/>
              <w:right w:val="nil"/>
            </w:tcBorders>
          </w:tcPr>
          <w:p w14:paraId="2F60A28B" w14:textId="77777777" w:rsidR="00CE6126" w:rsidRDefault="00CE6126" w:rsidP="003858A3">
            <w:pPr>
              <w:pStyle w:val="TableText"/>
              <w:rPr>
                <w:rtl/>
              </w:rPr>
            </w:pPr>
          </w:p>
        </w:tc>
        <w:tc>
          <w:tcPr>
            <w:tcW w:w="623" w:type="dxa"/>
            <w:tcBorders>
              <w:top w:val="nil"/>
              <w:left w:val="nil"/>
              <w:bottom w:val="nil"/>
              <w:right w:val="nil"/>
            </w:tcBorders>
          </w:tcPr>
          <w:p w14:paraId="29488770" w14:textId="77777777" w:rsidR="00CE6126" w:rsidRDefault="00CE6126" w:rsidP="003858A3">
            <w:pPr>
              <w:pStyle w:val="TableText"/>
              <w:rPr>
                <w:rtl/>
              </w:rPr>
            </w:pPr>
          </w:p>
        </w:tc>
        <w:tc>
          <w:tcPr>
            <w:tcW w:w="623" w:type="dxa"/>
            <w:tcBorders>
              <w:top w:val="nil"/>
              <w:left w:val="nil"/>
              <w:bottom w:val="nil"/>
              <w:right w:val="nil"/>
            </w:tcBorders>
          </w:tcPr>
          <w:p w14:paraId="5E809E77" w14:textId="77777777" w:rsidR="00CE6126" w:rsidRDefault="00CE6126" w:rsidP="003858A3">
            <w:pPr>
              <w:pStyle w:val="TableText"/>
              <w:rPr>
                <w:rtl/>
              </w:rPr>
            </w:pPr>
          </w:p>
        </w:tc>
        <w:tc>
          <w:tcPr>
            <w:tcW w:w="5900" w:type="dxa"/>
            <w:gridSpan w:val="2"/>
            <w:tcBorders>
              <w:left w:val="nil"/>
              <w:bottom w:val="nil"/>
              <w:right w:val="nil"/>
            </w:tcBorders>
          </w:tcPr>
          <w:p w14:paraId="074C1FB7" w14:textId="77777777" w:rsidR="00CE6126" w:rsidRDefault="00CE6126" w:rsidP="003858A3">
            <w:pPr>
              <w:pStyle w:val="TableBlock"/>
              <w:rPr>
                <w:sz w:val="26"/>
                <w:rtl/>
              </w:rPr>
            </w:pPr>
            <w:r>
              <w:rPr>
                <w:sz w:val="26"/>
                <w:rtl/>
              </w:rPr>
              <w:t>(5)</w:t>
            </w:r>
            <w:r>
              <w:rPr>
                <w:sz w:val="26"/>
                <w:rtl/>
              </w:rPr>
              <w:tab/>
              <w:t>שיקולים הנוגעים לעמדותיו או דעותיו של מבקש תעודת ההכשר.</w:t>
            </w:r>
          </w:p>
        </w:tc>
      </w:tr>
      <w:tr w:rsidR="00CE6126" w14:paraId="1FCC0097" w14:textId="77777777" w:rsidTr="003858A3">
        <w:trPr>
          <w:cantSplit/>
        </w:trPr>
        <w:tc>
          <w:tcPr>
            <w:tcW w:w="1869" w:type="dxa"/>
            <w:tcBorders>
              <w:top w:val="nil"/>
              <w:left w:val="nil"/>
              <w:bottom w:val="nil"/>
              <w:right w:val="nil"/>
            </w:tcBorders>
          </w:tcPr>
          <w:p w14:paraId="799C1E7A" w14:textId="77777777" w:rsidR="00CE6126" w:rsidRDefault="00CE6126" w:rsidP="003858A3">
            <w:pPr>
              <w:pStyle w:val="TableSideHeading"/>
              <w:rPr>
                <w:rtl/>
              </w:rPr>
            </w:pPr>
          </w:p>
        </w:tc>
        <w:tc>
          <w:tcPr>
            <w:tcW w:w="623" w:type="dxa"/>
            <w:tcBorders>
              <w:top w:val="nil"/>
              <w:left w:val="nil"/>
              <w:bottom w:val="nil"/>
              <w:right w:val="nil"/>
            </w:tcBorders>
          </w:tcPr>
          <w:p w14:paraId="754A31BE" w14:textId="77777777" w:rsidR="00CE6126" w:rsidRDefault="00CE6126" w:rsidP="003858A3">
            <w:pPr>
              <w:pStyle w:val="TableText"/>
              <w:rPr>
                <w:rtl/>
              </w:rPr>
            </w:pPr>
          </w:p>
        </w:tc>
        <w:tc>
          <w:tcPr>
            <w:tcW w:w="623" w:type="dxa"/>
            <w:tcBorders>
              <w:top w:val="nil"/>
              <w:left w:val="nil"/>
              <w:bottom w:val="nil"/>
              <w:right w:val="nil"/>
            </w:tcBorders>
          </w:tcPr>
          <w:p w14:paraId="3A6336F1" w14:textId="77777777" w:rsidR="00CE6126" w:rsidRDefault="00CE6126" w:rsidP="003858A3">
            <w:pPr>
              <w:pStyle w:val="TableText"/>
              <w:rPr>
                <w:rtl/>
              </w:rPr>
            </w:pPr>
          </w:p>
        </w:tc>
        <w:tc>
          <w:tcPr>
            <w:tcW w:w="6523" w:type="dxa"/>
            <w:gridSpan w:val="3"/>
            <w:tcBorders>
              <w:top w:val="nil"/>
              <w:left w:val="nil"/>
              <w:bottom w:val="nil"/>
              <w:right w:val="nil"/>
            </w:tcBorders>
          </w:tcPr>
          <w:p w14:paraId="0B3F8B34" w14:textId="77777777" w:rsidR="00CE6126" w:rsidRDefault="00CE6126" w:rsidP="003858A3">
            <w:pPr>
              <w:pStyle w:val="TableBlock"/>
              <w:rPr>
                <w:rtl/>
              </w:rPr>
            </w:pPr>
            <w:r>
              <w:rPr>
                <w:sz w:val="26"/>
                <w:rtl/>
              </w:rPr>
              <w:t>(ג)</w:t>
            </w:r>
            <w:r>
              <w:rPr>
                <w:sz w:val="26"/>
                <w:rtl/>
              </w:rPr>
              <w:tab/>
              <w:t>העובר על הוראת סעיף זה</w:t>
            </w:r>
            <w:r>
              <w:rPr>
                <w:rFonts w:hint="cs"/>
                <w:sz w:val="26"/>
                <w:rtl/>
              </w:rPr>
              <w:t>,</w:t>
            </w:r>
            <w:r>
              <w:rPr>
                <w:sz w:val="26"/>
                <w:rtl/>
              </w:rPr>
              <w:t xml:space="preserve"> דינו – מאסר ארבעה חודשים או קנס כאמור בסעיף 61(א)(1) לחוק העונשין, התשל"ז–1977</w:t>
            </w:r>
            <w:r>
              <w:rPr>
                <w:rStyle w:val="a6"/>
                <w:sz w:val="26"/>
                <w:rtl/>
              </w:rPr>
              <w:footnoteReference w:id="3"/>
            </w:r>
            <w:r>
              <w:rPr>
                <w:sz w:val="26"/>
                <w:rtl/>
              </w:rPr>
              <w:t>"</w:t>
            </w:r>
            <w:r>
              <w:rPr>
                <w:rFonts w:hint="cs"/>
                <w:sz w:val="26"/>
                <w:rtl/>
              </w:rPr>
              <w:t>.</w:t>
            </w:r>
          </w:p>
        </w:tc>
      </w:tr>
    </w:tbl>
    <w:p w14:paraId="1D661728" w14:textId="50BE18E5" w:rsidR="00CE6126" w:rsidRDefault="00CE6126" w:rsidP="00CD3E4C">
      <w:pPr>
        <w:pStyle w:val="HeadDivreiHesber"/>
        <w:rPr>
          <w:sz w:val="26"/>
          <w:rtl/>
        </w:rPr>
      </w:pPr>
      <w:r>
        <w:rPr>
          <w:rFonts w:hint="cs"/>
          <w:rtl/>
        </w:rPr>
        <w:t>דברי הסבר</w:t>
      </w:r>
    </w:p>
    <w:p w14:paraId="7093274E" w14:textId="77777777" w:rsidR="00CE6126" w:rsidRDefault="00CE6126" w:rsidP="00CE6126">
      <w:pPr>
        <w:pStyle w:val="Hesber"/>
        <w:rPr>
          <w:sz w:val="26"/>
          <w:rtl/>
        </w:rPr>
      </w:pPr>
      <w:r>
        <w:rPr>
          <w:sz w:val="26"/>
          <w:rtl/>
        </w:rPr>
        <w:t>חוק איסור הונאה בכשרות, התשמ"ג–1983, קובע כי "במתן תעודת הכשר יתחשב הרב בדיני הכשרות בלבד". מאחר שהגדרת המונח "דיני כשרות" אינה ברורה, בפועל נמתח הגבול, וכתוצאה מכך, נשקלים שיקולים אשר אינם קשורים לכשרות המזון המוגש או הנמכר במקום, כגון:</w:t>
      </w:r>
      <w:r>
        <w:rPr>
          <w:rFonts w:hint="cs"/>
          <w:sz w:val="26"/>
          <w:rtl/>
        </w:rPr>
        <w:t xml:space="preserve"> </w:t>
      </w:r>
      <w:r>
        <w:rPr>
          <w:sz w:val="26"/>
          <w:rtl/>
        </w:rPr>
        <w:t>הצגת מופעים לא צנועים במקום, עריכת טקסים לא לפי ההלכה היהודית ועוד.</w:t>
      </w:r>
    </w:p>
    <w:p w14:paraId="5857CA01" w14:textId="77777777" w:rsidR="00CE6126" w:rsidRDefault="00CE6126" w:rsidP="00CE6126">
      <w:pPr>
        <w:pStyle w:val="Hesber"/>
        <w:rPr>
          <w:sz w:val="26"/>
          <w:rtl/>
        </w:rPr>
      </w:pPr>
      <w:r>
        <w:rPr>
          <w:sz w:val="26"/>
          <w:rtl/>
        </w:rPr>
        <w:t xml:space="preserve">הצעת התיקון באה לקבוע כי תעודת ההכשר תינתן לבית אוכל בהתחשב אך ורק במידת כשרותו של המזון, ברוח </w:t>
      </w:r>
      <w:r w:rsidRPr="00DA532B">
        <w:rPr>
          <w:sz w:val="26"/>
          <w:rtl/>
        </w:rPr>
        <w:t xml:space="preserve">פסיקתו של בית המשפט העליון, אשר קבע בבג"ץ 8735/06 </w:t>
      </w:r>
      <w:r w:rsidRPr="00EA44D2">
        <w:rPr>
          <w:rFonts w:ascii="David" w:hAnsi="David" w:hint="eastAsia"/>
          <w:b/>
          <w:bCs/>
          <w:sz w:val="26"/>
          <w:rtl/>
        </w:rPr>
        <w:t>קומפורטי</w:t>
      </w:r>
      <w:r w:rsidRPr="00EA44D2">
        <w:rPr>
          <w:rFonts w:ascii="David" w:hAnsi="David"/>
          <w:b/>
          <w:bCs/>
          <w:sz w:val="26"/>
          <w:rtl/>
        </w:rPr>
        <w:t xml:space="preserve"> </w:t>
      </w:r>
      <w:r w:rsidRPr="00EA44D2">
        <w:rPr>
          <w:rFonts w:ascii="David" w:hAnsi="David" w:hint="eastAsia"/>
          <w:b/>
          <w:bCs/>
          <w:sz w:val="26"/>
          <w:rtl/>
        </w:rPr>
        <w:t>נ</w:t>
      </w:r>
      <w:r w:rsidRPr="00EA44D2">
        <w:rPr>
          <w:rFonts w:ascii="David" w:hAnsi="David"/>
          <w:b/>
          <w:bCs/>
          <w:sz w:val="26"/>
          <w:rtl/>
        </w:rPr>
        <w:t xml:space="preserve">' </w:t>
      </w:r>
      <w:r w:rsidRPr="00EA44D2">
        <w:rPr>
          <w:rFonts w:ascii="David" w:hAnsi="David" w:hint="eastAsia"/>
          <w:b/>
          <w:bCs/>
          <w:sz w:val="26"/>
          <w:rtl/>
        </w:rPr>
        <w:t>מועצת</w:t>
      </w:r>
      <w:r w:rsidRPr="00EA44D2">
        <w:rPr>
          <w:rFonts w:ascii="David" w:hAnsi="David"/>
          <w:b/>
          <w:bCs/>
          <w:sz w:val="26"/>
          <w:rtl/>
        </w:rPr>
        <w:t xml:space="preserve"> </w:t>
      </w:r>
      <w:r w:rsidRPr="00EA44D2">
        <w:rPr>
          <w:rFonts w:ascii="David" w:hAnsi="David" w:hint="eastAsia"/>
          <w:b/>
          <w:bCs/>
          <w:sz w:val="26"/>
          <w:rtl/>
        </w:rPr>
        <w:t>הרבנות</w:t>
      </w:r>
      <w:r w:rsidRPr="00EA44D2">
        <w:rPr>
          <w:rFonts w:ascii="David" w:hAnsi="David"/>
          <w:b/>
          <w:bCs/>
          <w:sz w:val="26"/>
          <w:rtl/>
        </w:rPr>
        <w:t xml:space="preserve"> </w:t>
      </w:r>
      <w:r w:rsidRPr="00EA44D2">
        <w:rPr>
          <w:rFonts w:ascii="David" w:hAnsi="David" w:hint="eastAsia"/>
          <w:b/>
          <w:bCs/>
          <w:sz w:val="26"/>
          <w:rtl/>
        </w:rPr>
        <w:t>הראשית</w:t>
      </w:r>
      <w:r w:rsidRPr="00EA44D2">
        <w:rPr>
          <w:rFonts w:ascii="David" w:hAnsi="David"/>
          <w:b/>
          <w:bCs/>
          <w:sz w:val="26"/>
          <w:rtl/>
        </w:rPr>
        <w:t xml:space="preserve"> </w:t>
      </w:r>
      <w:r w:rsidRPr="00EA44D2">
        <w:rPr>
          <w:rFonts w:ascii="David" w:hAnsi="David" w:hint="eastAsia"/>
          <w:b/>
          <w:bCs/>
          <w:sz w:val="26"/>
          <w:rtl/>
        </w:rPr>
        <w:t>לישראל</w:t>
      </w:r>
      <w:r w:rsidRPr="00EA44D2">
        <w:rPr>
          <w:b/>
          <w:bCs/>
          <w:sz w:val="26"/>
          <w:rtl/>
        </w:rPr>
        <w:t>,</w:t>
      </w:r>
      <w:r>
        <w:rPr>
          <w:sz w:val="26"/>
          <w:rtl/>
        </w:rPr>
        <w:t xml:space="preserve"> כי </w:t>
      </w:r>
      <w:r>
        <w:rPr>
          <w:rFonts w:ascii="Times New Roman" w:hAnsi="Times New Roman"/>
          <w:sz w:val="26"/>
          <w:rtl/>
        </w:rPr>
        <w:t>החלטות מועצת הרבנות הראשית ורב העיר אשדוד להתנות בתנאים, שאינם שייכים לדיני כשרות המזון, את מתן תעודת הכשרות לעסקה של העותרת, התבססו על שיקולים שאינם בגדר הסמכות המוקנית להם ב</w:t>
      </w:r>
      <w:hyperlink r:id="rId11" w:history="1">
        <w:r>
          <w:rPr>
            <w:rFonts w:ascii="Times New Roman" w:hAnsi="Times New Roman"/>
            <w:sz w:val="26"/>
            <w:rtl/>
          </w:rPr>
          <w:t xml:space="preserve">חוק איסור הונאה </w:t>
        </w:r>
      </w:hyperlink>
      <w:r>
        <w:rPr>
          <w:rFonts w:ascii="Times New Roman" w:hAnsi="Times New Roman"/>
          <w:sz w:val="26"/>
          <w:rtl/>
        </w:rPr>
        <w:t>בכשרות</w:t>
      </w:r>
      <w:r>
        <w:rPr>
          <w:sz w:val="26"/>
          <w:rtl/>
        </w:rPr>
        <w:t xml:space="preserve">. </w:t>
      </w:r>
    </w:p>
    <w:p w14:paraId="3AED6D24" w14:textId="77777777" w:rsidR="00CE6126" w:rsidRDefault="00CE6126" w:rsidP="00CE6126">
      <w:pPr>
        <w:pStyle w:val="Hesber"/>
        <w:rPr>
          <w:sz w:val="26"/>
          <w:rtl/>
        </w:rPr>
      </w:pPr>
      <w:r>
        <w:rPr>
          <w:rFonts w:hint="cs"/>
          <w:sz w:val="26"/>
          <w:rtl/>
        </w:rPr>
        <w:t>לגבי פתיחת בית האוכל בשבת, מוצעים סייגים הלכתיים אשר מקובלים כיום ברשויות מקומיות באזור הצפון כך שתעודת ההכשר תתייחס לימי החול ובלבד.</w:t>
      </w:r>
    </w:p>
    <w:p w14:paraId="43DB8482" w14:textId="77777777" w:rsidR="00881ED1" w:rsidRDefault="00CE6126" w:rsidP="00881ED1">
      <w:pPr>
        <w:pStyle w:val="Hesber"/>
        <w:rPr>
          <w:sz w:val="26"/>
          <w:rtl/>
        </w:rPr>
      </w:pPr>
      <w:r>
        <w:rPr>
          <w:sz w:val="26"/>
          <w:rtl/>
        </w:rPr>
        <w:t xml:space="preserve">הצעת חוק </w:t>
      </w:r>
      <w:r>
        <w:rPr>
          <w:rFonts w:hint="cs"/>
          <w:sz w:val="26"/>
          <w:rtl/>
        </w:rPr>
        <w:t>דומה בעיקרה</w:t>
      </w:r>
      <w:r>
        <w:rPr>
          <w:sz w:val="26"/>
          <w:rtl/>
        </w:rPr>
        <w:t xml:space="preserve"> הונחה על שולחן הכנסת השמונה-עשרה על ידי חבר הכנסת ניצן הורוביץ וקבוצת חברי </w:t>
      </w:r>
      <w:r>
        <w:rPr>
          <w:rFonts w:hint="cs"/>
          <w:sz w:val="26"/>
          <w:rtl/>
        </w:rPr>
        <w:t>ה</w:t>
      </w:r>
      <w:r>
        <w:rPr>
          <w:sz w:val="26"/>
          <w:rtl/>
        </w:rPr>
        <w:t>כנסת (פ/1884/18)</w:t>
      </w:r>
      <w:r>
        <w:rPr>
          <w:rFonts w:hint="cs"/>
          <w:sz w:val="26"/>
          <w:rtl/>
        </w:rPr>
        <w:t>, ועל שולחן הכנסת התשע-עשרה על ידי חבר הכנסת ניצן הורוביץ וקבוצת חברי הכנסת (פ/445/19).</w:t>
      </w:r>
      <w:r w:rsidR="00881ED1">
        <w:rPr>
          <w:rFonts w:hint="cs"/>
          <w:sz w:val="26"/>
          <w:rtl/>
        </w:rPr>
        <w:t xml:space="preserve"> </w:t>
      </w:r>
    </w:p>
    <w:p w14:paraId="613A80D7" w14:textId="7A217DC9" w:rsidR="00383D2D" w:rsidRDefault="00383D2D" w:rsidP="003C0C1D">
      <w:pPr>
        <w:pStyle w:val="Hesber"/>
        <w:rPr>
          <w:sz w:val="26"/>
          <w:rtl/>
        </w:rPr>
      </w:pPr>
      <w:r>
        <w:rPr>
          <w:rFonts w:hint="cs"/>
          <w:sz w:val="26"/>
          <w:rtl/>
        </w:rPr>
        <w:t xml:space="preserve">הצעה זהה הונחה </w:t>
      </w:r>
      <w:r w:rsidR="003C0C1D">
        <w:rPr>
          <w:rFonts w:hint="cs"/>
          <w:sz w:val="26"/>
          <w:rtl/>
        </w:rPr>
        <w:t>על שולחן הכנסת התשע-עשרה על ידי חבר</w:t>
      </w:r>
      <w:r>
        <w:rPr>
          <w:rFonts w:hint="cs"/>
          <w:sz w:val="26"/>
          <w:rtl/>
        </w:rPr>
        <w:t xml:space="preserve"> הכנסת אלעזר שטרן וקבוצת חברי הכנסת (פ/</w:t>
      </w:r>
      <w:r w:rsidRPr="0064146A">
        <w:rPr>
          <w:sz w:val="26"/>
          <w:rtl/>
        </w:rPr>
        <w:t>1805/19</w:t>
      </w:r>
      <w:r>
        <w:rPr>
          <w:rFonts w:hint="cs"/>
          <w:sz w:val="26"/>
          <w:rtl/>
        </w:rPr>
        <w:t>)</w:t>
      </w:r>
      <w:r w:rsidR="00305844">
        <w:rPr>
          <w:rFonts w:hint="cs"/>
          <w:sz w:val="26"/>
          <w:rtl/>
        </w:rPr>
        <w:t>.</w:t>
      </w:r>
    </w:p>
    <w:p w14:paraId="520A8F1F" w14:textId="77777777" w:rsidR="003C0C1D" w:rsidRDefault="003C0C1D" w:rsidP="003C0C1D">
      <w:pPr>
        <w:pStyle w:val="Hesber"/>
        <w:rPr>
          <w:sz w:val="26"/>
          <w:rtl/>
        </w:rPr>
      </w:pPr>
    </w:p>
    <w:p w14:paraId="0659B55B" w14:textId="77777777" w:rsidR="003C0C1D" w:rsidRPr="00557D2C" w:rsidRDefault="003C0C1D" w:rsidP="007D273A">
      <w:pPr>
        <w:pStyle w:val="Hesber"/>
        <w:rPr>
          <w:rtl/>
        </w:rPr>
      </w:pPr>
      <w:r w:rsidRPr="00557D2C">
        <w:rPr>
          <w:rtl/>
        </w:rPr>
        <w:t>---------------------------------</w:t>
      </w:r>
    </w:p>
    <w:p w14:paraId="3A8F2326" w14:textId="77777777" w:rsidR="003C0C1D" w:rsidRPr="00557D2C" w:rsidRDefault="003C0C1D" w:rsidP="007D273A">
      <w:pPr>
        <w:pStyle w:val="Hesber"/>
        <w:rPr>
          <w:rtl/>
        </w:rPr>
      </w:pPr>
      <w:r w:rsidRPr="00557D2C">
        <w:rPr>
          <w:rtl/>
        </w:rPr>
        <w:t>הוגשה ליו"ר הכנסת והסגנים</w:t>
      </w:r>
    </w:p>
    <w:p w14:paraId="20444066" w14:textId="77777777" w:rsidR="003C0C1D" w:rsidRPr="00557D2C" w:rsidRDefault="003C0C1D" w:rsidP="007D273A">
      <w:pPr>
        <w:pStyle w:val="Hesber"/>
        <w:rPr>
          <w:rtl/>
        </w:rPr>
      </w:pPr>
      <w:r w:rsidRPr="00557D2C">
        <w:rPr>
          <w:rtl/>
        </w:rPr>
        <w:t>והונחה על שולחן הכנסת ביום</w:t>
      </w:r>
    </w:p>
    <w:p w14:paraId="7F6961CB" w14:textId="40BEE597" w:rsidR="00E13C27" w:rsidRDefault="003C0C1D" w:rsidP="00CD3E4C">
      <w:pPr>
        <w:pStyle w:val="Hesber"/>
        <w:rPr>
          <w:rtl/>
        </w:rPr>
      </w:pPr>
      <w:r>
        <w:rPr>
          <w:rFonts w:hint="cs"/>
          <w:rtl/>
        </w:rPr>
        <w:t xml:space="preserve">י"ג באב </w:t>
      </w:r>
      <w:r w:rsidRPr="00557D2C">
        <w:rPr>
          <w:rFonts w:hint="cs"/>
          <w:rtl/>
        </w:rPr>
        <w:t xml:space="preserve">התשע"ה </w:t>
      </w:r>
      <w:r w:rsidRPr="00557D2C">
        <w:rPr>
          <w:rtl/>
        </w:rPr>
        <w:t>–</w:t>
      </w:r>
      <w:r>
        <w:rPr>
          <w:rFonts w:hint="cs"/>
          <w:rtl/>
        </w:rPr>
        <w:t xml:space="preserve"> 29.7.15</w:t>
      </w:r>
    </w:p>
    <w:sectPr w:rsidR="00E13C27" w:rsidSect="001207F8">
      <w:footerReference w:type="even" r:id="rId12"/>
      <w:footerReference w:type="default" r:id="rId1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DA33E6">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46DF3B06" w14:textId="77777777" w:rsidR="00CE6126" w:rsidRDefault="00CE6126" w:rsidP="00CE6126">
      <w:pPr>
        <w:pStyle w:val="a4"/>
      </w:pPr>
      <w:r>
        <w:rPr>
          <w:rStyle w:val="a6"/>
        </w:rPr>
        <w:footnoteRef/>
      </w:r>
      <w:r>
        <w:rPr>
          <w:sz w:val="20"/>
          <w:rtl/>
        </w:rPr>
        <w:t xml:space="preserve"> ס"ח התשמ"ג, עמ' 128.</w:t>
      </w:r>
    </w:p>
  </w:footnote>
  <w:footnote w:id="3">
    <w:p w14:paraId="7CE8377B" w14:textId="77777777" w:rsidR="00CE6126" w:rsidRDefault="00CE6126" w:rsidP="00CE6126">
      <w:pPr>
        <w:pStyle w:val="a4"/>
      </w:pPr>
      <w:r>
        <w:rPr>
          <w:rStyle w:val="a6"/>
        </w:rPr>
        <w:footnoteRef/>
      </w:r>
      <w:r>
        <w:rPr>
          <w:sz w:val="20"/>
          <w:rtl/>
        </w:rPr>
        <w:t xml:space="preserve"> ס"ח התשל"ז, עמ' 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B416F"/>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05844"/>
    <w:rsid w:val="003232A2"/>
    <w:rsid w:val="00325C14"/>
    <w:rsid w:val="0036422C"/>
    <w:rsid w:val="003710F6"/>
    <w:rsid w:val="00383D2D"/>
    <w:rsid w:val="00386E88"/>
    <w:rsid w:val="00396585"/>
    <w:rsid w:val="003C0C1D"/>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6C3ABC"/>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74BBC"/>
    <w:rsid w:val="00881ED1"/>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D3E4C"/>
    <w:rsid w:val="00CE6126"/>
    <w:rsid w:val="00CF1AA2"/>
    <w:rsid w:val="00D17774"/>
    <w:rsid w:val="00D63620"/>
    <w:rsid w:val="00D8410D"/>
    <w:rsid w:val="00D867D7"/>
    <w:rsid w:val="00DA33E6"/>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55E5C"/>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52CC05AB-4054-47C7-9553-1D29255E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uiPriority w:val="99"/>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uiPriority w:val="99"/>
    <w:rsid w:val="00B975AD"/>
  </w:style>
  <w:style w:type="paragraph" w:customStyle="1" w:styleId="TableBlock">
    <w:name w:val="Table Block"/>
    <w:basedOn w:val="TableText"/>
    <w:uiPriority w:val="99"/>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uiPriority w:val="99"/>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link w:val="a4"/>
    <w:uiPriority w:val="99"/>
    <w:rsid w:val="000B416F"/>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vo.co.il/law_html/law01/192_001.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88F4AFE3-9455-419C-8851-785A55F44517}">
  <ds:schemaRef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FA02B4D-9FF1-4DAF-BAEB-6FCC3FC1C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2E9EA9-BAC2-41F9-A736-7D8486E8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2132</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דפנה ברנאי</cp:lastModifiedBy>
  <cp:revision>10</cp:revision>
  <cp:lastPrinted>2015-07-28T11:59:00Z</cp:lastPrinted>
  <dcterms:created xsi:type="dcterms:W3CDTF">2015-04-20T09:58:00Z</dcterms:created>
  <dcterms:modified xsi:type="dcterms:W3CDTF">2015-07-29T12:22:00Z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568137</vt:r8>
  </property>
</Properties>
</file>