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2007452</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עליזה לביא</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פ/3393/20</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4CC6B19C" w:rsidR="00E13C27" w:rsidRPr="00F67051" w:rsidRDefault="00A443CF" w:rsidP="009B0B68">
      <w:pPr>
        <w:pStyle w:val="HeadHatzaotHok"/>
        <w:rPr>
          <w:rtl/>
        </w:rPr>
      </w:pPr>
      <w:bookmarkStart w:id="7" w:name="LGS_Subject"/>
      <w:r>
        <w:rPr>
          <w:rFonts w:hint="cs"/>
          <w:rtl/>
        </w:rPr>
        <w:t>הצעת חוק לתיקון דיני המשפחה (מזונות) (תיקון – מזונות בגיר שאינו מסוגל או מנוע מלכלכל את עצמו), התשע"ז</w:t>
      </w:r>
      <w:r w:rsidR="009B0B68">
        <w:rPr>
          <w:rFonts w:hint="eastAsia"/>
          <w:rtl/>
        </w:rPr>
        <w:t>–</w:t>
      </w:r>
      <w:r>
        <w:rPr>
          <w:rFonts w:hint="cs"/>
          <w:rtl/>
        </w:rPr>
        <w:t>2016</w:t>
      </w:r>
      <w:bookmarkEnd w:id="7"/>
    </w:p>
    <w:p w14:paraId="7F6961AE" w14:textId="77777777" w:rsidR="00E13C27" w:rsidRDefault="00E13C27" w:rsidP="0021633A">
      <w:pPr>
        <w:pStyle w:val="HeadDivreiHesber"/>
        <w:spacing w:before="0" w:after="0"/>
        <w:rPr>
          <w:rtl/>
        </w:rPr>
      </w:pPr>
    </w:p>
    <w:tbl>
      <w:tblPr>
        <w:bidiVisual/>
        <w:tblW w:w="9614" w:type="dxa"/>
        <w:tblLayout w:type="fixed"/>
        <w:tblCellMar>
          <w:top w:w="57" w:type="dxa"/>
          <w:left w:w="0" w:type="dxa"/>
          <w:bottom w:w="57" w:type="dxa"/>
          <w:right w:w="0" w:type="dxa"/>
        </w:tblCellMar>
        <w:tblLook w:val="01E0" w:firstRow="1" w:lastRow="1" w:firstColumn="1" w:lastColumn="1" w:noHBand="0" w:noVBand="0"/>
      </w:tblPr>
      <w:tblGrid>
        <w:gridCol w:w="1844"/>
        <w:gridCol w:w="682"/>
        <w:gridCol w:w="7088"/>
      </w:tblGrid>
      <w:tr w:rsidR="002F1D80" w14:paraId="3D9B61D1" w14:textId="77777777" w:rsidTr="00DF3D01">
        <w:trPr>
          <w:cantSplit/>
          <w:trHeight w:val="60"/>
        </w:trPr>
        <w:tc>
          <w:tcPr>
            <w:tcW w:w="1844" w:type="dxa"/>
          </w:tcPr>
          <w:p w14:paraId="6C0CB9D8" w14:textId="11F29AAD" w:rsidR="002F1D80" w:rsidRDefault="0060448B" w:rsidP="002C3041">
            <w:pPr>
              <w:pStyle w:val="TableSideHeading"/>
              <w:keepLines w:val="0"/>
            </w:pPr>
            <w:r>
              <w:rPr>
                <w:rFonts w:hint="cs"/>
                <w:rtl/>
              </w:rPr>
              <w:t>תיקון סעיף 1</w:t>
            </w:r>
          </w:p>
        </w:tc>
        <w:tc>
          <w:tcPr>
            <w:tcW w:w="682" w:type="dxa"/>
          </w:tcPr>
          <w:p w14:paraId="3F4286A2" w14:textId="01A73A08" w:rsidR="002F1D80" w:rsidRDefault="0020237E" w:rsidP="00DF3D01">
            <w:pPr>
              <w:pStyle w:val="TableText"/>
              <w:keepLines w:val="0"/>
              <w:tabs>
                <w:tab w:val="clear" w:pos="624"/>
                <w:tab w:val="clear" w:pos="1247"/>
                <w:tab w:val="left" w:pos="257"/>
              </w:tabs>
              <w:jc w:val="both"/>
            </w:pPr>
            <w:r>
              <w:rPr>
                <w:rFonts w:hint="cs"/>
                <w:rtl/>
              </w:rPr>
              <w:t>1.</w:t>
            </w:r>
          </w:p>
        </w:tc>
        <w:tc>
          <w:tcPr>
            <w:tcW w:w="7088" w:type="dxa"/>
          </w:tcPr>
          <w:p w14:paraId="7633D5BB" w14:textId="1047F9F4" w:rsidR="002F1D80" w:rsidRPr="00C34DE2" w:rsidRDefault="0060448B" w:rsidP="00431B6A">
            <w:pPr>
              <w:pStyle w:val="TableBlock"/>
              <w:keepLines w:val="0"/>
            </w:pPr>
            <w:r>
              <w:rPr>
                <w:rFonts w:hint="cs"/>
                <w:rtl/>
              </w:rPr>
              <w:t>בחוק לתיקון דיני המשפחה (מזונות), התשי"ט</w:t>
            </w:r>
            <w:r>
              <w:rPr>
                <w:rFonts w:hint="cs"/>
                <w:rtl/>
              </w:rPr>
              <w:softHyphen/>
            </w:r>
            <w:r>
              <w:rPr>
                <w:rFonts w:hint="eastAsia"/>
                <w:rtl/>
              </w:rPr>
              <w:t>–</w:t>
            </w:r>
            <w:r>
              <w:rPr>
                <w:rFonts w:hint="cs"/>
                <w:rtl/>
              </w:rPr>
              <w:t>1959</w:t>
            </w:r>
            <w:r>
              <w:rPr>
                <w:rStyle w:val="a5"/>
                <w:rtl/>
              </w:rPr>
              <w:footnoteReference w:id="2"/>
            </w:r>
            <w:r>
              <w:rPr>
                <w:rFonts w:hint="cs"/>
                <w:rtl/>
              </w:rPr>
              <w:t>, בסעיף 1, בהגדרה "קטין", בסופה יבוא "וכן בגיר שאינו מסוגל או מנוע מלכלכל את עצמו וטרם מלאו לו עשרים ואח</w:t>
            </w:r>
            <w:r w:rsidR="00431B6A">
              <w:rPr>
                <w:rFonts w:hint="cs"/>
                <w:rtl/>
              </w:rPr>
              <w:t>ת</w:t>
            </w:r>
            <w:r>
              <w:rPr>
                <w:rFonts w:hint="cs"/>
                <w:rtl/>
              </w:rPr>
              <w:t xml:space="preserve"> שנה".</w:t>
            </w:r>
          </w:p>
        </w:tc>
      </w:tr>
    </w:tbl>
    <w:p w14:paraId="7F6961CA" w14:textId="77777777" w:rsidR="002D1EE3" w:rsidRDefault="002D1EE3" w:rsidP="002D1EE3">
      <w:pPr>
        <w:pStyle w:val="HeadDivreiHesber"/>
        <w:rPr>
          <w:rtl/>
        </w:rPr>
      </w:pPr>
      <w:r w:rsidRPr="0027450A">
        <w:rPr>
          <w:rFonts w:hint="cs"/>
          <w:rtl/>
        </w:rPr>
        <w:t>דברי הסבר</w:t>
      </w:r>
    </w:p>
    <w:p w14:paraId="0E317ADB" w14:textId="7FC12A04" w:rsidR="0060448B" w:rsidRPr="003E70E4" w:rsidRDefault="0060448B" w:rsidP="007E3FE4">
      <w:pPr>
        <w:pStyle w:val="Hesber"/>
        <w:rPr>
          <w:rtl/>
        </w:rPr>
      </w:pPr>
      <w:r w:rsidRPr="003E70E4">
        <w:rPr>
          <w:rFonts w:hint="cs"/>
          <w:rtl/>
        </w:rPr>
        <w:t xml:space="preserve">מזונות ילדים בישראל מוסדרים כיום באמצעות חקיקה ובאמצעות הלכות פרי פסיקה שהרחיבו </w:t>
      </w:r>
      <w:r>
        <w:rPr>
          <w:rFonts w:hint="cs"/>
          <w:rtl/>
        </w:rPr>
        <w:t>את</w:t>
      </w:r>
      <w:r w:rsidRPr="003E70E4">
        <w:rPr>
          <w:rFonts w:hint="cs"/>
          <w:rtl/>
        </w:rPr>
        <w:t xml:space="preserve"> חבות ההורים בתשלום מזונות עבור ילדיהם הקטינים גם לגילאים מאוחרים יותר. זאת מאחר </w:t>
      </w:r>
      <w:r w:rsidR="007E3FE4">
        <w:rPr>
          <w:rFonts w:hint="cs"/>
          <w:rtl/>
        </w:rPr>
        <w:t>ש</w:t>
      </w:r>
      <w:r w:rsidRPr="003E70E4">
        <w:rPr>
          <w:rFonts w:hint="cs"/>
          <w:rtl/>
        </w:rPr>
        <w:t xml:space="preserve">לעיתים גם בגילאי 18-21 תיתכנה הוצאות שתועמסנה על ההורים ואין זה מן הצדק להטיל מלוא ההוצאות על ההורה המגדל את הילד ואילו ההורה השני יוצא פטור בלא כלום. כך למשל בתקופת השירות הצבאי. עפ"י החוק, מאחר </w:t>
      </w:r>
      <w:r w:rsidR="007E3FE4">
        <w:rPr>
          <w:rFonts w:hint="cs"/>
          <w:rtl/>
        </w:rPr>
        <w:t>ש</w:t>
      </w:r>
      <w:r w:rsidRPr="003E70E4">
        <w:rPr>
          <w:rFonts w:hint="cs"/>
          <w:rtl/>
        </w:rPr>
        <w:t>הילד בתקופה זו אינו קטין כהגדרתו, אין כל חבות במזונות. ברם, הפסיקה הכירה בזכותו של הילד למזונות בתקופת השירות אך רק בשיעור שליש. השופט שמגר בפס"ד פלוני כונן הלכה זו, "מדברי המחוקק הישראלי עולה חובת תשלום מזונות אבסולוטית לילדים עד הגיעם לגיל 18, אם חובה כאמור עולה מן הדין האישי. קביעת גיל 18, גיל הבגרות, כמסמן את סיום התלות המשפטית בין ילד להורהו אינה שרירותית, אלא משקפת יחס ערכי של החברה והמערכת המשפטית בשאלה זו... אחד מאותם שיקולים שיש לקחת בחשבון במדינת ישראל הוא עובדת שירותם הצבאי של צעירים... צעיר בגיל</w:t>
      </w:r>
      <w:r w:rsidRPr="003E70E4">
        <w:rPr>
          <w:rFonts w:hint="cs"/>
        </w:rPr>
        <w:t xml:space="preserve"> </w:t>
      </w:r>
      <w:r w:rsidRPr="003E70E4">
        <w:rPr>
          <w:rFonts w:hint="cs"/>
          <w:rtl/>
        </w:rPr>
        <w:t>צבא אינו יכול לפרנס עצמו (ואף אסור לו לעשות כן, אלא בהיתר), והמשכורת הצבאית אין בה כדי לספק את כל צרכיו... התוצאה היא שלמעשה נופל חלק מן המעמסה</w:t>
      </w:r>
      <w:r w:rsidRPr="003E70E4">
        <w:rPr>
          <w:rFonts w:hint="cs"/>
        </w:rPr>
        <w:t xml:space="preserve"> </w:t>
      </w:r>
      <w:r w:rsidRPr="003E70E4">
        <w:rPr>
          <w:rFonts w:hint="cs"/>
          <w:rtl/>
        </w:rPr>
        <w:t xml:space="preserve">על ההורה". בהמשך </w:t>
      </w:r>
      <w:r w:rsidR="007E3FE4">
        <w:rPr>
          <w:rFonts w:hint="cs"/>
          <w:rtl/>
        </w:rPr>
        <w:t xml:space="preserve">הוא </w:t>
      </w:r>
      <w:r w:rsidRPr="003E70E4">
        <w:rPr>
          <w:rFonts w:hint="cs"/>
          <w:rtl/>
        </w:rPr>
        <w:t>קובע כי ההכרה במזונות בגילאים אלו הי</w:t>
      </w:r>
      <w:r>
        <w:rPr>
          <w:rFonts w:hint="cs"/>
          <w:rtl/>
        </w:rPr>
        <w:t>א</w:t>
      </w:r>
      <w:r w:rsidRPr="003E70E4">
        <w:rPr>
          <w:rFonts w:hint="cs"/>
          <w:rtl/>
        </w:rPr>
        <w:t xml:space="preserve"> עד שיעור שליש. </w:t>
      </w:r>
    </w:p>
    <w:p w14:paraId="1B42EE7D" w14:textId="77777777" w:rsidR="0060448B" w:rsidRPr="003E70E4" w:rsidRDefault="0060448B" w:rsidP="0060448B">
      <w:pPr>
        <w:pStyle w:val="Hesber"/>
        <w:rPr>
          <w:rtl/>
        </w:rPr>
      </w:pPr>
      <w:r w:rsidRPr="003E70E4">
        <w:rPr>
          <w:rFonts w:hint="cs"/>
          <w:rtl/>
        </w:rPr>
        <w:t>נראה אם כן כי האופציה לקביעת מזונות לבגירים, נתונה לביצוע כיום רק מכוח הפסיקה אך לא מכוח החוק. מה עוד שהפסיקה יצרה חזקה להפחתת המזונות עד שיעור שליש, חזקה אשר לא תמיד עומדת במבחן המציאות.</w:t>
      </w:r>
    </w:p>
    <w:p w14:paraId="71C3FD76" w14:textId="77777777" w:rsidR="0060448B" w:rsidRDefault="0060448B" w:rsidP="0060448B">
      <w:pPr>
        <w:pStyle w:val="Hesber"/>
        <w:rPr>
          <w:rtl/>
        </w:rPr>
      </w:pPr>
      <w:r w:rsidRPr="003E70E4">
        <w:rPr>
          <w:rFonts w:hint="cs"/>
          <w:rtl/>
        </w:rPr>
        <w:t xml:space="preserve">מוצע אם כן לתקן את החוק ולקבוע בו אפשרות הטלת חבות במזונות ילדים גם בגילאי 18-21. שיעור </w:t>
      </w:r>
      <w:r w:rsidRPr="003E70E4">
        <w:rPr>
          <w:rFonts w:hint="cs"/>
          <w:rtl/>
        </w:rPr>
        <w:lastRenderedPageBreak/>
        <w:t>המזונות ייקבע על פי שיקול דעתו של בית המשפט.</w:t>
      </w:r>
    </w:p>
    <w:p w14:paraId="1C310B3D" w14:textId="68BF348A" w:rsidR="0056018D" w:rsidRDefault="0060448B" w:rsidP="0056018D">
      <w:pPr>
        <w:pStyle w:val="Hesber"/>
        <w:rPr>
          <w:rtl/>
        </w:rPr>
      </w:pPr>
      <w:r w:rsidRPr="00CD10B3">
        <w:rPr>
          <w:rFonts w:hint="cs"/>
          <w:rtl/>
        </w:rPr>
        <w:t>הצעות חוק דומות בעיקרן הונחו על שולחן הכנסת החמש-עשרה על ידי חברת הכנסת ענת מאור וקבוצת חברי הכנסת (פ/87) ועל ידי חבר הכנסת גנדי ריגר (פ/886), על שולחן הכנסת השש-עשרה על ידי חברת הכנסת זהבה גלאון (פ/1149), על שולחן הכנסת השבע-עשרה על ידי ח</w:t>
      </w:r>
      <w:r>
        <w:rPr>
          <w:rFonts w:hint="cs"/>
          <w:rtl/>
        </w:rPr>
        <w:t xml:space="preserve">ברת הכנסת זהבה גלאון (פ/10/17), </w:t>
      </w:r>
      <w:r w:rsidRPr="00CD10B3">
        <w:rPr>
          <w:rFonts w:hint="cs"/>
          <w:rtl/>
        </w:rPr>
        <w:t>על שולחן הכנסת השמונה-עשרה על ידי חברת הכנסת אורית זוארץ</w:t>
      </w:r>
      <w:r>
        <w:rPr>
          <w:rFonts w:hint="cs"/>
          <w:rtl/>
        </w:rPr>
        <w:t xml:space="preserve"> וקבוצת חברי הכנסת (פ/1442/18), </w:t>
      </w:r>
      <w:r w:rsidRPr="00CD10B3">
        <w:rPr>
          <w:rFonts w:hint="cs"/>
          <w:rtl/>
        </w:rPr>
        <w:t xml:space="preserve">על ידי חברת הכנסת זהבה גלאון </w:t>
      </w:r>
      <w:r>
        <w:rPr>
          <w:rFonts w:hint="cs"/>
          <w:rtl/>
        </w:rPr>
        <w:t xml:space="preserve">וקבוצת חברי הכנסת (פ/3215/18) ועל ידי חבר הכנסת  זבולון אורלב וקבוצת חברי הכנסת (פ/3605/18), </w:t>
      </w:r>
      <w:r w:rsidR="007E3FE4">
        <w:rPr>
          <w:rFonts w:hint="cs"/>
          <w:rtl/>
        </w:rPr>
        <w:t>ו</w:t>
      </w:r>
      <w:r>
        <w:rPr>
          <w:rFonts w:hint="cs"/>
          <w:rtl/>
        </w:rPr>
        <w:t>על שולחן הכנסת התשע-עשרה על ידי חברת הכנסת זהבה גלאון וקבוצת חברי הכנסת (פ/889/19)</w:t>
      </w:r>
      <w:r w:rsidR="0056018D">
        <w:rPr>
          <w:rFonts w:hint="cs"/>
          <w:rtl/>
        </w:rPr>
        <w:t>.</w:t>
      </w:r>
    </w:p>
    <w:p w14:paraId="06DF7FB9" w14:textId="2C0AC2C6" w:rsidR="0060448B" w:rsidRDefault="0056018D" w:rsidP="0056018D">
      <w:pPr>
        <w:pStyle w:val="Hesber"/>
        <w:rPr>
          <w:rtl/>
        </w:rPr>
      </w:pPr>
      <w:r>
        <w:rPr>
          <w:rFonts w:hint="cs"/>
          <w:rtl/>
        </w:rPr>
        <w:t xml:space="preserve">הצעת חוק זהה הונחה </w:t>
      </w:r>
      <w:r w:rsidR="0060448B">
        <w:rPr>
          <w:rFonts w:hint="cs"/>
          <w:rtl/>
        </w:rPr>
        <w:t>על שולחן הכנסת התשע-עשרה על ידי חברת הכנסת עדי קול וקבוצת חברי הכנסת (</w:t>
      </w:r>
      <w:bookmarkStart w:id="8" w:name="LawNum"/>
      <w:r w:rsidR="0060448B" w:rsidRPr="006B6FFC">
        <w:rPr>
          <w:sz w:val="26"/>
          <w:rtl/>
        </w:rPr>
        <w:t>פ/1917/19</w:t>
      </w:r>
      <w:bookmarkEnd w:id="8"/>
      <w:r w:rsidR="0060448B">
        <w:rPr>
          <w:rFonts w:hint="cs"/>
          <w:sz w:val="26"/>
          <w:rtl/>
        </w:rPr>
        <w:t>).</w:t>
      </w:r>
    </w:p>
    <w:p w14:paraId="7F6961CB" w14:textId="057596D5" w:rsidR="00E13C27" w:rsidRDefault="00E13C27" w:rsidP="00E13C27">
      <w:pPr>
        <w:pStyle w:val="Hesber"/>
        <w:rPr>
          <w:rtl/>
        </w:rPr>
      </w:pPr>
    </w:p>
    <w:p w14:paraId="4108B0DB" w14:textId="77777777" w:rsidR="007E3FE4" w:rsidRDefault="007E3FE4" w:rsidP="00E13C27">
      <w:pPr>
        <w:pStyle w:val="Hesber"/>
        <w:rPr>
          <w:rtl/>
        </w:rPr>
      </w:pPr>
    </w:p>
    <w:p w14:paraId="33E7C16E" w14:textId="77777777" w:rsidR="007E3FE4" w:rsidRPr="00D73212" w:rsidRDefault="007E3FE4" w:rsidP="007E3FE4">
      <w:pPr>
        <w:pStyle w:val="Hesber"/>
        <w:rPr>
          <w:color w:val="auto"/>
          <w:rtl/>
          <w:lang w:eastAsia="en-US"/>
        </w:rPr>
      </w:pPr>
      <w:r w:rsidRPr="00D73212">
        <w:rPr>
          <w:color w:val="auto"/>
          <w:rtl/>
          <w:lang w:eastAsia="en-US"/>
        </w:rPr>
        <w:t>--------</w:t>
      </w:r>
      <w:bookmarkStart w:id="9" w:name="_GoBack"/>
      <w:bookmarkEnd w:id="9"/>
      <w:r w:rsidRPr="00D73212">
        <w:rPr>
          <w:color w:val="auto"/>
          <w:rtl/>
          <w:lang w:eastAsia="en-US"/>
        </w:rPr>
        <w:t>-------------------------</w:t>
      </w:r>
    </w:p>
    <w:p w14:paraId="5CF4556D" w14:textId="77777777" w:rsidR="007E3FE4" w:rsidRPr="00D73212" w:rsidRDefault="007E3FE4" w:rsidP="007E3FE4">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247E26D8" w14:textId="77777777" w:rsidR="007E3FE4" w:rsidRPr="00D73212" w:rsidRDefault="007E3FE4" w:rsidP="007E3FE4">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16A4E3B2" w14:textId="77777777" w:rsidR="007E3FE4" w:rsidRPr="00317312" w:rsidRDefault="007E3FE4" w:rsidP="007E3FE4">
      <w:pPr>
        <w:pStyle w:val="Hesber"/>
      </w:pPr>
      <w:r>
        <w:rPr>
          <w:rFonts w:hint="cs"/>
          <w:color w:val="auto"/>
          <w:rtl/>
          <w:lang w:eastAsia="en-US"/>
        </w:rPr>
        <w:t>כ"ט בתשרי</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ז</w:t>
      </w:r>
      <w:r w:rsidRPr="00D73212">
        <w:rPr>
          <w:color w:val="auto"/>
          <w:rtl/>
          <w:lang w:eastAsia="en-US"/>
        </w:rPr>
        <w:t xml:space="preserve"> – </w:t>
      </w:r>
      <w:r>
        <w:rPr>
          <w:rFonts w:hint="cs"/>
          <w:color w:val="auto"/>
          <w:rtl/>
          <w:lang w:eastAsia="en-US"/>
        </w:rPr>
        <w:t>31.10</w:t>
      </w:r>
      <w:r w:rsidRPr="00D73212">
        <w:rPr>
          <w:color w:val="auto"/>
          <w:rtl/>
          <w:lang w:eastAsia="en-US"/>
        </w:rPr>
        <w:t>.1</w:t>
      </w:r>
      <w:r>
        <w:rPr>
          <w:rFonts w:hint="cs"/>
          <w:color w:val="auto"/>
          <w:rtl/>
          <w:lang w:eastAsia="en-US"/>
        </w:rPr>
        <w:t>6</w:t>
      </w:r>
    </w:p>
    <w:p w14:paraId="024AE577" w14:textId="77777777" w:rsidR="007E3FE4" w:rsidRDefault="007E3FE4" w:rsidP="00E13C27">
      <w:pPr>
        <w:pStyle w:val="Hesber"/>
        <w:rPr>
          <w:rtl/>
        </w:rPr>
      </w:pPr>
    </w:p>
    <w:sectPr w:rsidR="007E3FE4"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7E3FE4">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5AC0628B" w14:textId="77777777" w:rsidR="0060448B" w:rsidRDefault="0060448B" w:rsidP="0060448B">
      <w:pPr>
        <w:pStyle w:val="a4"/>
        <w:rPr>
          <w:rtl/>
        </w:rPr>
      </w:pPr>
      <w:r>
        <w:rPr>
          <w:rStyle w:val="a5"/>
        </w:rPr>
        <w:footnoteRef/>
      </w:r>
      <w:r>
        <w:rPr>
          <w:rtl/>
        </w:rPr>
        <w:t xml:space="preserve"> </w:t>
      </w:r>
      <w:r>
        <w:rPr>
          <w:rFonts w:hint="cs"/>
          <w:rtl/>
        </w:rPr>
        <w:t>ס"ח התשי"ט, עמ' 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5002F"/>
    <w:multiLevelType w:val="hybridMultilevel"/>
    <w:tmpl w:val="6002A412"/>
    <w:lvl w:ilvl="0" w:tplc="0409000F">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237E"/>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31B6A"/>
    <w:rsid w:val="004A06DC"/>
    <w:rsid w:val="004B24ED"/>
    <w:rsid w:val="004B6625"/>
    <w:rsid w:val="004D2D82"/>
    <w:rsid w:val="004D3876"/>
    <w:rsid w:val="004E4552"/>
    <w:rsid w:val="004E6CDF"/>
    <w:rsid w:val="00553C9D"/>
    <w:rsid w:val="0056018D"/>
    <w:rsid w:val="00562A66"/>
    <w:rsid w:val="005B064E"/>
    <w:rsid w:val="005D51AE"/>
    <w:rsid w:val="0060448B"/>
    <w:rsid w:val="0062674B"/>
    <w:rsid w:val="006363B2"/>
    <w:rsid w:val="00644940"/>
    <w:rsid w:val="006818A9"/>
    <w:rsid w:val="006A2D81"/>
    <w:rsid w:val="006C1D0D"/>
    <w:rsid w:val="0070601E"/>
    <w:rsid w:val="00712C72"/>
    <w:rsid w:val="00735FE9"/>
    <w:rsid w:val="00763CAA"/>
    <w:rsid w:val="00765F66"/>
    <w:rsid w:val="0078664F"/>
    <w:rsid w:val="007C3FA6"/>
    <w:rsid w:val="007D585A"/>
    <w:rsid w:val="007D5A12"/>
    <w:rsid w:val="007E3FE4"/>
    <w:rsid w:val="007E59F9"/>
    <w:rsid w:val="00810BCD"/>
    <w:rsid w:val="00812C98"/>
    <w:rsid w:val="00814D92"/>
    <w:rsid w:val="0083181D"/>
    <w:rsid w:val="00843408"/>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B0B68"/>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63620"/>
    <w:rsid w:val="00D8410D"/>
    <w:rsid w:val="00D867D7"/>
    <w:rsid w:val="00DB7060"/>
    <w:rsid w:val="00DE3153"/>
    <w:rsid w:val="00DF3D01"/>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46C91"/>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2D5D-78A3-4A59-A7AA-6BF46DC3B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BDA4216-5AC6-49F0-8658-6798E543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447</Words>
  <Characters>2237</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10</cp:revision>
  <cp:lastPrinted>2016-10-26T08:36:00Z</cp:lastPrinted>
  <dcterms:created xsi:type="dcterms:W3CDTF">2015-04-20T09:58:00Z</dcterms:created>
  <dcterms:modified xsi:type="dcterms:W3CDTF">2016-10-26T08:36:00Z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2007452</vt:r8>
  </property>
</Properties>
</file>